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73FA1" w14:textId="77777777" w:rsidR="00F25C60" w:rsidRDefault="00F25C60" w:rsidP="00F25C60">
      <w:pPr>
        <w:pStyle w:val="Balk1"/>
      </w:pPr>
      <w:bookmarkStart w:id="0" w:name="_Toc29417767"/>
      <w:bookmarkStart w:id="1" w:name="_GoBack"/>
      <w:bookmarkEnd w:id="1"/>
      <w:r>
        <w:t>EĞİTİM ALANINDA YAPILAN LİSANSÜSTÜ TEZLERDE “ÇEVRE BİLİNCİ” KONUSUNUN ELE ALINIŞINA YÖNELİK BİBLİYOMETRİK BİR ANALİZ</w:t>
      </w:r>
      <w:bookmarkEnd w:id="0"/>
    </w:p>
    <w:p w14:paraId="0FE0FD1A" w14:textId="77777777" w:rsidR="00F25C60" w:rsidRDefault="00F25C60" w:rsidP="00F25C60">
      <w:pPr>
        <w:jc w:val="center"/>
        <w:rPr>
          <w:rFonts w:cs="Times New Roman"/>
          <w:color w:val="0D0D0D" w:themeColor="text1" w:themeTint="F2"/>
          <w:sz w:val="22"/>
          <w:szCs w:val="24"/>
        </w:rPr>
      </w:pPr>
      <w:r>
        <w:rPr>
          <w:rFonts w:cs="Times New Roman"/>
          <w:b/>
          <w:color w:val="0D0D0D" w:themeColor="text1" w:themeTint="F2"/>
          <w:sz w:val="22"/>
          <w:szCs w:val="24"/>
        </w:rPr>
        <w:t>(A Bibliometric Analysis of the “Environmental Awareness” in the Graduate Thesis in Education)</w:t>
      </w:r>
    </w:p>
    <w:p w14:paraId="455A7A6E" w14:textId="393D5854" w:rsidR="00F25C60" w:rsidRPr="00F25C60" w:rsidRDefault="00F25C60" w:rsidP="00F25C60">
      <w:pPr>
        <w:jc w:val="center"/>
        <w:rPr>
          <w:rFonts w:cs="Times New Roman"/>
          <w:b/>
          <w:bCs/>
          <w:color w:val="FF0000"/>
          <w:sz w:val="22"/>
          <w:szCs w:val="24"/>
        </w:rPr>
      </w:pPr>
      <w:r w:rsidRPr="00F25C60">
        <w:rPr>
          <w:rFonts w:cs="Times New Roman"/>
          <w:b/>
          <w:bCs/>
          <w:color w:val="FF0000"/>
          <w:sz w:val="22"/>
          <w:szCs w:val="24"/>
          <w:u w:val="single"/>
        </w:rPr>
        <w:t>Yazar 1</w:t>
      </w:r>
      <w:r>
        <w:rPr>
          <w:rFonts w:cs="Times New Roman"/>
          <w:b/>
          <w:bCs/>
          <w:color w:val="FF0000"/>
          <w:sz w:val="22"/>
          <w:szCs w:val="24"/>
          <w:u w:val="single"/>
        </w:rPr>
        <w:t>*</w:t>
      </w:r>
      <w:r w:rsidRPr="00F25C60">
        <w:rPr>
          <w:rFonts w:cs="Times New Roman"/>
          <w:b/>
          <w:bCs/>
          <w:color w:val="FF0000"/>
          <w:sz w:val="22"/>
          <w:szCs w:val="24"/>
        </w:rPr>
        <w:t>, Yazar 2</w:t>
      </w:r>
      <w:r>
        <w:rPr>
          <w:rFonts w:cs="Times New Roman"/>
          <w:b/>
          <w:bCs/>
          <w:color w:val="FF0000"/>
          <w:sz w:val="22"/>
          <w:szCs w:val="24"/>
        </w:rPr>
        <w:t>**</w:t>
      </w:r>
    </w:p>
    <w:p w14:paraId="3B179957" w14:textId="53AF82F9" w:rsidR="00F25C60" w:rsidRPr="00963C25" w:rsidRDefault="00F25C60" w:rsidP="00963C25">
      <w:pPr>
        <w:spacing w:after="0"/>
        <w:jc w:val="center"/>
        <w:rPr>
          <w:rFonts w:cs="Times New Roman"/>
          <w:i/>
          <w:iCs/>
          <w:color w:val="FF0000"/>
          <w:sz w:val="22"/>
          <w:szCs w:val="24"/>
        </w:rPr>
      </w:pPr>
      <w:r w:rsidRPr="00963C25">
        <w:rPr>
          <w:rFonts w:cs="Times New Roman"/>
          <w:i/>
          <w:iCs/>
          <w:color w:val="0D0D0D" w:themeColor="text1" w:themeTint="F2"/>
          <w:sz w:val="22"/>
          <w:szCs w:val="24"/>
        </w:rPr>
        <w:t>*Burdur Mehmet Akif Ersoy Üniversitesi, Eğitim Fakültesi, Burdur, Türkiye,</w:t>
      </w:r>
      <w:r w:rsidRPr="00963C25">
        <w:rPr>
          <w:i/>
          <w:iCs/>
        </w:rPr>
        <w:t xml:space="preserve"> </w:t>
      </w:r>
      <w:r w:rsidRPr="00963C25">
        <w:rPr>
          <w:i/>
          <w:iCs/>
          <w:color w:val="FF0000"/>
        </w:rPr>
        <w:t>mail adresi</w:t>
      </w:r>
      <w:r w:rsidRPr="00963C25">
        <w:rPr>
          <w:rFonts w:cs="Times New Roman"/>
          <w:i/>
          <w:iCs/>
          <w:color w:val="FF0000"/>
          <w:sz w:val="22"/>
          <w:szCs w:val="24"/>
        </w:rPr>
        <w:t xml:space="preserve"> </w:t>
      </w:r>
    </w:p>
    <w:p w14:paraId="24FA8F44" w14:textId="69C40458" w:rsidR="00963C25" w:rsidRPr="005522E8" w:rsidRDefault="00F25C60" w:rsidP="005522E8">
      <w:pPr>
        <w:spacing w:after="0"/>
        <w:jc w:val="center"/>
        <w:rPr>
          <w:rFonts w:cs="Times New Roman"/>
          <w:i/>
          <w:iCs/>
          <w:color w:val="FF0000"/>
          <w:sz w:val="22"/>
          <w:szCs w:val="24"/>
        </w:rPr>
      </w:pPr>
      <w:r w:rsidRPr="00963C25">
        <w:rPr>
          <w:rFonts w:cs="Times New Roman"/>
          <w:i/>
          <w:iCs/>
          <w:color w:val="000000" w:themeColor="text1"/>
          <w:sz w:val="22"/>
          <w:szCs w:val="24"/>
        </w:rPr>
        <w:t>**Akdeniz Üniversitesi, Eğitim Fakültesi, Antalya, Tü</w:t>
      </w:r>
      <w:r w:rsidR="005721E7" w:rsidRPr="00963C25">
        <w:rPr>
          <w:rFonts w:cs="Times New Roman"/>
          <w:i/>
          <w:iCs/>
          <w:color w:val="000000" w:themeColor="text1"/>
          <w:sz w:val="22"/>
          <w:szCs w:val="24"/>
        </w:rPr>
        <w:t>r</w:t>
      </w:r>
      <w:r w:rsidRPr="00963C25">
        <w:rPr>
          <w:rFonts w:cs="Times New Roman"/>
          <w:i/>
          <w:iCs/>
          <w:color w:val="000000" w:themeColor="text1"/>
          <w:sz w:val="22"/>
          <w:szCs w:val="24"/>
        </w:rPr>
        <w:t>kiye,</w:t>
      </w:r>
      <w:r w:rsidRPr="00963C25">
        <w:rPr>
          <w:rFonts w:cs="Times New Roman"/>
          <w:i/>
          <w:iCs/>
          <w:color w:val="FF0000"/>
          <w:sz w:val="22"/>
          <w:szCs w:val="24"/>
        </w:rPr>
        <w:t xml:space="preserve"> mail adresi</w:t>
      </w:r>
    </w:p>
    <w:p w14:paraId="13626E1C" w14:textId="77777777" w:rsidR="00F25C60" w:rsidRDefault="00F25C60" w:rsidP="00F25C60">
      <w:pPr>
        <w:jc w:val="center"/>
        <w:rPr>
          <w:rFonts w:cs="Times New Roman"/>
          <w:b/>
          <w:color w:val="0D0D0D" w:themeColor="text1" w:themeTint="F2"/>
          <w:sz w:val="22"/>
          <w:szCs w:val="24"/>
        </w:rPr>
      </w:pPr>
      <w:r>
        <w:rPr>
          <w:rFonts w:cs="Times New Roman"/>
          <w:b/>
          <w:color w:val="0D0D0D" w:themeColor="text1" w:themeTint="F2"/>
          <w:sz w:val="22"/>
          <w:szCs w:val="24"/>
        </w:rPr>
        <w:t>ÖZET</w:t>
      </w:r>
    </w:p>
    <w:p w14:paraId="4226D0EF" w14:textId="77777777" w:rsidR="00F25C60" w:rsidRDefault="00F25C60" w:rsidP="00F25C60">
      <w:pPr>
        <w:rPr>
          <w:rFonts w:cs="Times New Roman"/>
          <w:i/>
          <w:color w:val="0D0D0D" w:themeColor="text1" w:themeTint="F2"/>
          <w:sz w:val="22"/>
          <w:szCs w:val="24"/>
        </w:rPr>
      </w:pPr>
      <w:r>
        <w:rPr>
          <w:rFonts w:cs="Times New Roman"/>
          <w:i/>
          <w:color w:val="0D0D0D" w:themeColor="text1" w:themeTint="F2"/>
          <w:sz w:val="22"/>
          <w:szCs w:val="24"/>
        </w:rPr>
        <w:t xml:space="preserve">Nüfus artışı, kaynakların ve canlıların kontrolsüz hızla tükenmesi, kirlilik, küresel ısınma vb. çevre sorunlarının artışı tüm canlıların yaşamını gün geçtikçe zorlaştırmaktadır.  Bu nedenle, hayatımızda tehlike oluşturan bu çevresel sorunların üstesinden gelebilmek için bu sorunların farkında olan, çevre bilincine sahip bireyler yetiştirmek çok önemlidir. Yıllardır çevre eğitimi alanındaki araştırmacılar, çevre bilgisi, çevreye karşı tutum ve davranış, çevre bilinci, çevre okuryazarlığı konuları ile ilgili sayısız çalışmalar yapmışlardır.  Bu çalışmada ise, Türkiye Yüksek Öğretim Kurumu (YÖK) Ulusal Tez Merkezi veri tabanında eğitim alanında ve çevre bilinci konusunda yayımlanmış olan lisansüstü düzeydeki çalışmalar </w:t>
      </w:r>
      <w:r>
        <w:rPr>
          <w:rFonts w:cs="Times New Roman"/>
          <w:i/>
          <w:color w:val="0D0D0D" w:themeColor="text1" w:themeTint="F2"/>
          <w:sz w:val="22"/>
          <w:szCs w:val="24"/>
          <w:shd w:val="clear" w:color="auto" w:fill="FFFFFF"/>
        </w:rPr>
        <w:t xml:space="preserve">arasındaki ilişkilerin sayısal olarak analizi </w:t>
      </w:r>
      <w:r>
        <w:rPr>
          <w:rFonts w:cs="Times New Roman"/>
          <w:i/>
          <w:color w:val="0D0D0D" w:themeColor="text1" w:themeTint="F2"/>
          <w:sz w:val="22"/>
          <w:szCs w:val="24"/>
        </w:rPr>
        <w:t>yapılmıştır. Çalışmalar; lisansüstü tezlerin türü, tam metin erişilebilirliği, yazarların cinsiyet dağılımı, tezlerin yapıldığı üniversiteler ve anabilim dalları, tezlerin yılları, sayfa dağılımları, ortalama atıf sayıları ve kaynakça analizi bağlamında incelenmiştir.</w:t>
      </w:r>
    </w:p>
    <w:p w14:paraId="662A3378" w14:textId="77777777" w:rsidR="00F25C60" w:rsidRDefault="00F25C60" w:rsidP="00F25C60">
      <w:pPr>
        <w:rPr>
          <w:rFonts w:cs="Times New Roman"/>
          <w:i/>
          <w:color w:val="0D0D0D" w:themeColor="text1" w:themeTint="F2"/>
          <w:sz w:val="22"/>
          <w:szCs w:val="24"/>
        </w:rPr>
      </w:pPr>
      <w:r>
        <w:rPr>
          <w:rFonts w:cs="Times New Roman"/>
          <w:b/>
          <w:i/>
          <w:color w:val="0D0D0D" w:themeColor="text1" w:themeTint="F2"/>
          <w:sz w:val="22"/>
          <w:szCs w:val="24"/>
        </w:rPr>
        <w:t>Anahtar Kelimeler:</w:t>
      </w:r>
      <w:r>
        <w:rPr>
          <w:rFonts w:cs="Times New Roman"/>
          <w:i/>
          <w:color w:val="0D0D0D" w:themeColor="text1" w:themeTint="F2"/>
          <w:sz w:val="22"/>
          <w:szCs w:val="24"/>
        </w:rPr>
        <w:t xml:space="preserve"> Çevre Bilinci, Lisansüstü tez, Bibliyometrik Analiz</w:t>
      </w:r>
    </w:p>
    <w:p w14:paraId="7C0569D7" w14:textId="77777777" w:rsidR="00F25C60" w:rsidRDefault="00F25C60" w:rsidP="00F25C60">
      <w:pPr>
        <w:jc w:val="center"/>
        <w:rPr>
          <w:rFonts w:cs="Times New Roman"/>
          <w:color w:val="0D0D0D" w:themeColor="text1" w:themeTint="F2"/>
          <w:sz w:val="22"/>
          <w:szCs w:val="24"/>
        </w:rPr>
      </w:pPr>
      <w:r>
        <w:rPr>
          <w:rFonts w:cs="Times New Roman"/>
          <w:b/>
          <w:i/>
          <w:color w:val="0D0D0D" w:themeColor="text1" w:themeTint="F2"/>
          <w:sz w:val="22"/>
          <w:szCs w:val="24"/>
        </w:rPr>
        <w:t>ABSTRACT</w:t>
      </w:r>
    </w:p>
    <w:p w14:paraId="76BA68D8" w14:textId="77777777" w:rsidR="00F25C60" w:rsidRDefault="00F25C60" w:rsidP="00F25C60">
      <w:pPr>
        <w:rPr>
          <w:rFonts w:cs="Times New Roman"/>
          <w:i/>
          <w:color w:val="0D0D0D" w:themeColor="text1" w:themeTint="F2"/>
          <w:sz w:val="22"/>
          <w:szCs w:val="24"/>
        </w:rPr>
      </w:pPr>
      <w:r>
        <w:rPr>
          <w:rFonts w:cs="Times New Roman"/>
          <w:i/>
          <w:color w:val="0D0D0D" w:themeColor="text1" w:themeTint="F2"/>
          <w:sz w:val="22"/>
          <w:szCs w:val="24"/>
        </w:rPr>
        <w:t>Population growth, uncontrolled depletion of resources and living things, pollution, global warming etc. increase in environmental problems make life of all living things more and more difficult.</w:t>
      </w:r>
      <w:r>
        <w:rPr>
          <w:rFonts w:cs="Times New Roman"/>
          <w:color w:val="0D0D0D" w:themeColor="text1" w:themeTint="F2"/>
          <w:sz w:val="22"/>
          <w:szCs w:val="24"/>
        </w:rPr>
        <w:t xml:space="preserve"> </w:t>
      </w:r>
      <w:r>
        <w:rPr>
          <w:rFonts w:cs="Times New Roman"/>
          <w:i/>
          <w:color w:val="0D0D0D" w:themeColor="text1" w:themeTint="F2"/>
          <w:sz w:val="22"/>
          <w:szCs w:val="24"/>
        </w:rPr>
        <w:t>Therefore, in order to overcome these environmental problems which are dangerous in our lives, it is very important to educate individuals who are aware of these problems and who have environmental awareness.</w:t>
      </w:r>
      <w:r>
        <w:rPr>
          <w:rFonts w:cs="Times New Roman"/>
          <w:color w:val="0D0D0D" w:themeColor="text1" w:themeTint="F2"/>
          <w:sz w:val="22"/>
          <w:szCs w:val="24"/>
        </w:rPr>
        <w:t xml:space="preserve"> </w:t>
      </w:r>
      <w:r>
        <w:rPr>
          <w:rFonts w:cs="Times New Roman"/>
          <w:i/>
          <w:color w:val="0D0D0D" w:themeColor="text1" w:themeTint="F2"/>
          <w:sz w:val="22"/>
          <w:szCs w:val="24"/>
        </w:rPr>
        <w:t>For years, researchers in the field of environmental education have conducted numerous studies on environmental knowledge, attitudes and behavior towards the environment, environmental awareness and environmental literacy.</w:t>
      </w:r>
      <w:r>
        <w:rPr>
          <w:rFonts w:cs="Times New Roman"/>
          <w:color w:val="0D0D0D" w:themeColor="text1" w:themeTint="F2"/>
          <w:sz w:val="22"/>
          <w:szCs w:val="24"/>
        </w:rPr>
        <w:t xml:space="preserve"> </w:t>
      </w:r>
      <w:r>
        <w:rPr>
          <w:rFonts w:cs="Times New Roman"/>
          <w:i/>
          <w:color w:val="0D0D0D" w:themeColor="text1" w:themeTint="F2"/>
          <w:sz w:val="22"/>
          <w:szCs w:val="24"/>
        </w:rPr>
        <w:t>In this study, the relationships between graduate level studies published in the Turkey Council of Higher Education Thesis Center database, education field and environmental awareness were analyzed numerically.</w:t>
      </w:r>
      <w:r>
        <w:rPr>
          <w:rFonts w:cs="Times New Roman"/>
          <w:color w:val="0D0D0D" w:themeColor="text1" w:themeTint="F2"/>
          <w:sz w:val="22"/>
          <w:szCs w:val="24"/>
        </w:rPr>
        <w:t xml:space="preserve"> </w:t>
      </w:r>
      <w:r>
        <w:rPr>
          <w:rFonts w:cs="Times New Roman"/>
          <w:i/>
          <w:color w:val="0D0D0D" w:themeColor="text1" w:themeTint="F2"/>
          <w:sz w:val="22"/>
          <w:szCs w:val="24"/>
        </w:rPr>
        <w:t>The studies were examined in the context of the type of graduate theses, full text accessibility, gender distribution of the authors, the universities and departments where the theses were made, the years of the theses, page distributions, average citation numbers and bibliography analysis.</w:t>
      </w:r>
    </w:p>
    <w:p w14:paraId="68551D87" w14:textId="77777777" w:rsidR="00F25C60" w:rsidRDefault="00F25C60" w:rsidP="00F25C60">
      <w:pPr>
        <w:rPr>
          <w:rFonts w:cs="Times New Roman"/>
          <w:i/>
          <w:color w:val="0D0D0D" w:themeColor="text1" w:themeTint="F2"/>
          <w:sz w:val="22"/>
          <w:szCs w:val="24"/>
        </w:rPr>
      </w:pPr>
      <w:r>
        <w:rPr>
          <w:rFonts w:cs="Times New Roman"/>
          <w:b/>
          <w:i/>
          <w:color w:val="0D0D0D" w:themeColor="text1" w:themeTint="F2"/>
          <w:sz w:val="22"/>
          <w:szCs w:val="24"/>
        </w:rPr>
        <w:t>Key words:</w:t>
      </w:r>
      <w:r>
        <w:rPr>
          <w:rFonts w:cs="Times New Roman"/>
          <w:i/>
          <w:color w:val="0D0D0D" w:themeColor="text1" w:themeTint="F2"/>
          <w:sz w:val="22"/>
          <w:szCs w:val="24"/>
        </w:rPr>
        <w:t xml:space="preserve">  Environmental Awareness, Graduate Thesis, Bibliometric Analysis</w:t>
      </w:r>
    </w:p>
    <w:p w14:paraId="245AB603" w14:textId="77777777" w:rsidR="00F25C60" w:rsidRDefault="00F25C60" w:rsidP="00F25C60">
      <w:pPr>
        <w:pStyle w:val="ListeParagraf"/>
        <w:numPr>
          <w:ilvl w:val="0"/>
          <w:numId w:val="1"/>
        </w:numPr>
        <w:spacing w:after="160"/>
        <w:ind w:left="284" w:hanging="284"/>
        <w:rPr>
          <w:rFonts w:ascii="Times New Roman" w:hAnsi="Times New Roman"/>
          <w:color w:val="0D0D0D" w:themeColor="text1" w:themeTint="F2"/>
          <w:sz w:val="22"/>
          <w:szCs w:val="24"/>
        </w:rPr>
      </w:pPr>
      <w:r>
        <w:rPr>
          <w:rFonts w:ascii="Times New Roman" w:hAnsi="Times New Roman"/>
          <w:b/>
          <w:color w:val="0D0D0D" w:themeColor="text1" w:themeTint="F2"/>
          <w:sz w:val="22"/>
          <w:szCs w:val="24"/>
        </w:rPr>
        <w:lastRenderedPageBreak/>
        <w:t>GİRİŞ</w:t>
      </w:r>
    </w:p>
    <w:p w14:paraId="47054F21" w14:textId="77777777" w:rsidR="00F25C60" w:rsidRDefault="00F25C60" w:rsidP="00F25C60">
      <w:pPr>
        <w:pStyle w:val="ListeParagraf"/>
        <w:ind w:left="284"/>
        <w:rPr>
          <w:rFonts w:ascii="Times New Roman" w:hAnsi="Times New Roman"/>
          <w:color w:val="0D0D0D" w:themeColor="text1" w:themeTint="F2"/>
          <w:sz w:val="22"/>
          <w:szCs w:val="24"/>
          <w:shd w:val="clear" w:color="auto" w:fill="FFFFFF"/>
        </w:rPr>
      </w:pPr>
    </w:p>
    <w:p w14:paraId="31B98E1D" w14:textId="77777777" w:rsidR="00F25C60" w:rsidRDefault="00F25C60" w:rsidP="00F25C60">
      <w:pPr>
        <w:rPr>
          <w:rFonts w:cs="Times New Roman"/>
          <w:color w:val="0D0D0D" w:themeColor="text1" w:themeTint="F2"/>
          <w:sz w:val="22"/>
          <w:szCs w:val="24"/>
          <w:shd w:val="clear" w:color="auto" w:fill="FFFFFF"/>
        </w:rPr>
      </w:pPr>
      <w:r>
        <w:rPr>
          <w:rFonts w:cs="Times New Roman"/>
          <w:color w:val="0D0D0D" w:themeColor="text1" w:themeTint="F2"/>
          <w:sz w:val="22"/>
          <w:szCs w:val="24"/>
          <w:shd w:val="clear" w:color="auto" w:fill="FFFFFF"/>
        </w:rPr>
        <w:t>Artan çevresel sorunların tüm dünyada etkileri nedeniyle çevre sorunlarına çözüm bulma çabaları gün geçtikçe artmaktadır. Uzun yıllar bilimsel ve teknolojik çabaların çevre sorunlarının koruyucusu olarak görülmesine rağmen, artık bu çabaların çevre koruma için yeterli önlem olmadığı görülmektedir.</w:t>
      </w:r>
      <w:r>
        <w:rPr>
          <w:rFonts w:cs="Times New Roman"/>
          <w:color w:val="0D0D0D" w:themeColor="text1" w:themeTint="F2"/>
          <w:sz w:val="22"/>
          <w:szCs w:val="24"/>
        </w:rPr>
        <w:t xml:space="preserve"> </w:t>
      </w:r>
      <w:r>
        <w:rPr>
          <w:rFonts w:cs="Times New Roman"/>
          <w:color w:val="0D0D0D" w:themeColor="text1" w:themeTint="F2"/>
          <w:sz w:val="22"/>
          <w:szCs w:val="24"/>
          <w:shd w:val="clear" w:color="auto" w:fill="FFFFFF"/>
        </w:rPr>
        <w:t>Çevre sorunlarının çözümüne olan talebin artmasıyla “Çevre Eğitimi” olarak adlandırılan yeni eğitim çalışmaları konusu ortaya çıkmıştır [1,2].</w:t>
      </w:r>
      <w:r>
        <w:rPr>
          <w:rFonts w:cs="Times New Roman"/>
          <w:color w:val="0D0D0D" w:themeColor="text1" w:themeTint="F2"/>
          <w:sz w:val="22"/>
          <w:szCs w:val="24"/>
        </w:rPr>
        <w:t xml:space="preserve"> </w:t>
      </w:r>
      <w:r>
        <w:rPr>
          <w:rFonts w:cs="Times New Roman"/>
          <w:color w:val="0D0D0D" w:themeColor="text1" w:themeTint="F2"/>
          <w:sz w:val="22"/>
          <w:szCs w:val="24"/>
          <w:shd w:val="clear" w:color="auto" w:fill="FFFFFF"/>
        </w:rPr>
        <w:t xml:space="preserve">Bu nedenle, çevre eğitimi, çevrenin korunmasına yardımcı olmak ve sürdürülebilir bir geleceğe sahip olmak için en büyük değişikliklerden biri olarak öngörülmüştür. Çevre eğitiminin içi ise çevreye karşı duyarlılık ve çevre bilinci ile doldurulmalıdır. Çevre bilinci, bireylerin yaşamlarını sürdürdükleri çevrenin korunması ve sürdürülebilir kullanımı için gerekli mücadeleyi ortaya koymaları olarak tanımlanabilir [3,4]. Çevre bilincine sahip bireyler yetiştirmenin yolu da ailede başlayan, okulda ve yaşam içinde devam eden eğitimden geçer.  Temelinde sorumluluk duygusu yatan ve yaşam boyu devam etmesi gereken bu eğitim ile bireylere çevremizdeki sınırlı varlıkların sürekli artmakta olan sınırsız taleplerimiz karşısında tükeneceği fikri aşılanmalıdır [5]. </w:t>
      </w:r>
    </w:p>
    <w:p w14:paraId="368DC24E" w14:textId="77777777" w:rsidR="00F25C60" w:rsidRDefault="00F25C60" w:rsidP="00F25C60">
      <w:pPr>
        <w:rPr>
          <w:rFonts w:cs="Times New Roman"/>
          <w:color w:val="0D0D0D" w:themeColor="text1" w:themeTint="F2"/>
          <w:sz w:val="22"/>
          <w:szCs w:val="24"/>
        </w:rPr>
      </w:pPr>
      <w:r>
        <w:rPr>
          <w:rFonts w:cs="Times New Roman"/>
          <w:color w:val="0D0D0D" w:themeColor="text1" w:themeTint="F2"/>
          <w:sz w:val="22"/>
          <w:szCs w:val="24"/>
        </w:rPr>
        <w:t xml:space="preserve">Teknolojinin hızla ilerlemesine paralel olarak bilgiye olan erişim artmakta ve diğer ülkelerde olduğu gibi, ülkemizde de yüksek çevre bilincine sahip bir toplum oluşturmaya yönelik alternatif yollar geliştirmek önem kazanmaktadır. Çevre bilincinin tüm toplumu etkileyeceğinden ve evrensel olması gerektiğinden hareketle, bütün öğretim kademelerinde olduğu gibi, yükseköğretimde de çevre bilinci önem kazanmış ve bu durum bireyleri bu konu altında araştırma yapmaya yönlendirmiştir [6-10]. </w:t>
      </w:r>
    </w:p>
    <w:p w14:paraId="77640705" w14:textId="77777777" w:rsidR="00F25C60" w:rsidRDefault="00F25C60" w:rsidP="00F25C60">
      <w:pPr>
        <w:rPr>
          <w:rFonts w:cs="Times New Roman"/>
          <w:color w:val="0D0D0D" w:themeColor="text1" w:themeTint="F2"/>
          <w:sz w:val="22"/>
          <w:szCs w:val="24"/>
        </w:rPr>
      </w:pPr>
      <w:r>
        <w:rPr>
          <w:rFonts w:cs="Times New Roman"/>
          <w:color w:val="0D0D0D" w:themeColor="text1" w:themeTint="F2"/>
          <w:sz w:val="22"/>
          <w:szCs w:val="24"/>
        </w:rPr>
        <w:t>Bütün bu bilgiler ışığından yola çıkılarak,  çalışmamızda, eğitim alanında ve çevre bilinci kapsamında yayımlanmış lisansüstü tezlerin bibliyometrik analizleri yapılarak, konunun akademik alanda ele alınışının belirlenmesine katkı sağlanması amaçlanmıştır.</w:t>
      </w:r>
    </w:p>
    <w:p w14:paraId="536E3F1B" w14:textId="77777777" w:rsidR="00F25C60" w:rsidRDefault="00F25C60" w:rsidP="00F25C60">
      <w:pPr>
        <w:spacing w:after="0"/>
        <w:rPr>
          <w:rFonts w:cs="Times New Roman"/>
          <w:color w:val="0D0D0D" w:themeColor="text1" w:themeTint="F2"/>
          <w:sz w:val="22"/>
          <w:szCs w:val="24"/>
        </w:rPr>
      </w:pPr>
    </w:p>
    <w:p w14:paraId="4777C50D" w14:textId="77777777" w:rsidR="00F25C60" w:rsidRDefault="00F25C60" w:rsidP="00F25C60">
      <w:pPr>
        <w:pStyle w:val="ListeParagraf"/>
        <w:numPr>
          <w:ilvl w:val="0"/>
          <w:numId w:val="1"/>
        </w:numPr>
        <w:tabs>
          <w:tab w:val="left" w:pos="284"/>
        </w:tabs>
        <w:spacing w:after="160"/>
        <w:ind w:left="0" w:firstLine="0"/>
        <w:rPr>
          <w:rFonts w:ascii="Times New Roman" w:hAnsi="Times New Roman"/>
          <w:b/>
          <w:color w:val="0D0D0D" w:themeColor="text1" w:themeTint="F2"/>
          <w:sz w:val="22"/>
          <w:szCs w:val="24"/>
        </w:rPr>
      </w:pPr>
      <w:r>
        <w:rPr>
          <w:rFonts w:ascii="Times New Roman" w:hAnsi="Times New Roman"/>
          <w:b/>
          <w:color w:val="0D0D0D" w:themeColor="text1" w:themeTint="F2"/>
          <w:sz w:val="22"/>
          <w:szCs w:val="24"/>
        </w:rPr>
        <w:t>YÖNTEM</w:t>
      </w:r>
    </w:p>
    <w:p w14:paraId="58CF602F" w14:textId="77777777" w:rsidR="00F25C60" w:rsidRDefault="00F25C60" w:rsidP="00F25C60">
      <w:pPr>
        <w:pStyle w:val="ListeParagraf"/>
        <w:tabs>
          <w:tab w:val="left" w:pos="284"/>
        </w:tabs>
        <w:ind w:left="0"/>
        <w:rPr>
          <w:rFonts w:ascii="Times New Roman" w:hAnsi="Times New Roman"/>
          <w:b/>
          <w:color w:val="0D0D0D" w:themeColor="text1" w:themeTint="F2"/>
          <w:sz w:val="22"/>
          <w:szCs w:val="24"/>
        </w:rPr>
      </w:pPr>
    </w:p>
    <w:p w14:paraId="26A9CA76"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Çalışmamızda bibliyometrik analiz yöntemi kullanılmıştır. Bu kapsamda, Yükseköğretim Kurulu (YÖK) Ulusal Tez Merkezi veri tabanında anahtar kelime olarak “Çevre Bilinci” kullanılarak ve konu Eğitim alanında olmak kaydıyla sınırlandırılarak bir tarama yapılmış ve 46 adet lisansüstü tez çalışmasına ulaşılmıştır.</w:t>
      </w:r>
    </w:p>
    <w:p w14:paraId="5AC8CD1C"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 xml:space="preserve"> Çalışma, lisansüstü tezlerin türü, tam metin erişilebilirliği, yazarların cinsiyet dağılımı, tezlerin yapıldığı üniversiteler ve anabilim dalları, tezlerin yılları, sayfa dağılımları, ortalama atıf sayıları ve kaynakça analizi üzerine temellendirilmiştir. </w:t>
      </w:r>
    </w:p>
    <w:p w14:paraId="64718682"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p>
    <w:p w14:paraId="7242132C" w14:textId="77777777" w:rsidR="00F25C60" w:rsidRDefault="00F25C60" w:rsidP="00F25C60">
      <w:pPr>
        <w:pStyle w:val="ListeParagraf"/>
        <w:numPr>
          <w:ilvl w:val="0"/>
          <w:numId w:val="1"/>
        </w:numPr>
        <w:tabs>
          <w:tab w:val="left" w:pos="284"/>
        </w:tabs>
        <w:spacing w:after="160"/>
        <w:ind w:left="0" w:firstLine="0"/>
        <w:rPr>
          <w:rFonts w:ascii="Times New Roman" w:hAnsi="Times New Roman"/>
          <w:b/>
          <w:color w:val="0D0D0D" w:themeColor="text1" w:themeTint="F2"/>
          <w:sz w:val="22"/>
          <w:szCs w:val="24"/>
        </w:rPr>
      </w:pPr>
      <w:r>
        <w:rPr>
          <w:rFonts w:ascii="Times New Roman" w:hAnsi="Times New Roman"/>
          <w:b/>
          <w:color w:val="0D0D0D" w:themeColor="text1" w:themeTint="F2"/>
          <w:sz w:val="22"/>
          <w:szCs w:val="24"/>
        </w:rPr>
        <w:t>BULGULAR</w:t>
      </w:r>
    </w:p>
    <w:p w14:paraId="6BE6790A" w14:textId="77777777" w:rsidR="00F25C60" w:rsidRDefault="00F25C60" w:rsidP="00F25C60">
      <w:pPr>
        <w:pStyle w:val="ListeParagraf"/>
        <w:tabs>
          <w:tab w:val="left" w:pos="284"/>
        </w:tabs>
        <w:ind w:left="0"/>
        <w:rPr>
          <w:rFonts w:ascii="Times New Roman" w:hAnsi="Times New Roman"/>
          <w:b/>
          <w:color w:val="0D0D0D" w:themeColor="text1" w:themeTint="F2"/>
          <w:sz w:val="22"/>
          <w:szCs w:val="24"/>
        </w:rPr>
      </w:pPr>
    </w:p>
    <w:p w14:paraId="03BE70CB" w14:textId="77777777" w:rsidR="00F25C60" w:rsidRDefault="00F25C60" w:rsidP="00F25C60">
      <w:pPr>
        <w:pStyle w:val="ListeParagraf"/>
        <w:tabs>
          <w:tab w:val="left" w:pos="284"/>
        </w:tabs>
        <w:ind w:left="0"/>
        <w:rPr>
          <w:rStyle w:val="fontstyle01"/>
          <w:color w:val="0D0D0D" w:themeColor="text1" w:themeTint="F2"/>
          <w:sz w:val="22"/>
          <w:szCs w:val="24"/>
        </w:rPr>
      </w:pPr>
      <w:r>
        <w:rPr>
          <w:rFonts w:ascii="Times New Roman" w:hAnsi="Times New Roman"/>
          <w:color w:val="0D0D0D" w:themeColor="text1" w:themeTint="F2"/>
          <w:sz w:val="22"/>
          <w:szCs w:val="24"/>
        </w:rPr>
        <w:lastRenderedPageBreak/>
        <w:t xml:space="preserve">10.10.2019 itibariyle YÖK Ulusal Tez Merkezinde kayıtlı, Eğitim alanında “Çevre Bilinci” </w:t>
      </w:r>
      <w:r>
        <w:rPr>
          <w:rStyle w:val="fontstyle01"/>
          <w:color w:val="0D0D0D" w:themeColor="text1" w:themeTint="F2"/>
          <w:sz w:val="22"/>
          <w:szCs w:val="24"/>
        </w:rPr>
        <w:t>konusunda yapılmış toplam 46 adet lisansüstü tez çalı</w:t>
      </w:r>
      <w:r>
        <w:rPr>
          <w:rStyle w:val="fontstyle21"/>
          <w:rFonts w:ascii="Times New Roman" w:hAnsi="Times New Roman"/>
          <w:color w:val="0D0D0D" w:themeColor="text1" w:themeTint="F2"/>
          <w:sz w:val="22"/>
          <w:szCs w:val="24"/>
        </w:rPr>
        <w:t>ş</w:t>
      </w:r>
      <w:r>
        <w:rPr>
          <w:rStyle w:val="fontstyle01"/>
          <w:color w:val="0D0D0D" w:themeColor="text1" w:themeTint="F2"/>
          <w:sz w:val="22"/>
          <w:szCs w:val="24"/>
        </w:rPr>
        <w:t>maya dâhil edilmi</w:t>
      </w:r>
      <w:r>
        <w:rPr>
          <w:rStyle w:val="fontstyle21"/>
          <w:rFonts w:ascii="Times New Roman" w:hAnsi="Times New Roman"/>
          <w:color w:val="0D0D0D" w:themeColor="text1" w:themeTint="F2"/>
          <w:sz w:val="22"/>
          <w:szCs w:val="24"/>
        </w:rPr>
        <w:t>ş</w:t>
      </w:r>
      <w:r>
        <w:rPr>
          <w:rStyle w:val="fontstyle01"/>
          <w:color w:val="0D0D0D" w:themeColor="text1" w:themeTint="F2"/>
          <w:sz w:val="22"/>
          <w:szCs w:val="24"/>
        </w:rPr>
        <w:t>tir. Çalışmaya ait veriler a</w:t>
      </w:r>
      <w:r>
        <w:rPr>
          <w:rStyle w:val="fontstyle21"/>
          <w:rFonts w:ascii="Times New Roman" w:hAnsi="Times New Roman"/>
          <w:color w:val="0D0D0D" w:themeColor="text1" w:themeTint="F2"/>
          <w:sz w:val="22"/>
          <w:szCs w:val="24"/>
        </w:rPr>
        <w:t>ş</w:t>
      </w:r>
      <w:r>
        <w:rPr>
          <w:rStyle w:val="fontstyle01"/>
          <w:color w:val="0D0D0D" w:themeColor="text1" w:themeTint="F2"/>
          <w:sz w:val="22"/>
          <w:szCs w:val="24"/>
        </w:rPr>
        <w:t>a</w:t>
      </w:r>
      <w:r>
        <w:rPr>
          <w:rStyle w:val="fontstyle21"/>
          <w:rFonts w:ascii="Times New Roman" w:hAnsi="Times New Roman"/>
          <w:color w:val="0D0D0D" w:themeColor="text1" w:themeTint="F2"/>
          <w:sz w:val="22"/>
          <w:szCs w:val="24"/>
        </w:rPr>
        <w:t>ğ</w:t>
      </w:r>
      <w:r>
        <w:rPr>
          <w:rStyle w:val="fontstyle01"/>
          <w:color w:val="0D0D0D" w:themeColor="text1" w:themeTint="F2"/>
          <w:sz w:val="22"/>
          <w:szCs w:val="24"/>
        </w:rPr>
        <w:t>ıda</w:t>
      </w:r>
      <w:r>
        <w:rPr>
          <w:rFonts w:ascii="Times New Roman" w:hAnsi="Times New Roman"/>
          <w:color w:val="0D0D0D" w:themeColor="text1" w:themeTint="F2"/>
          <w:sz w:val="22"/>
          <w:szCs w:val="24"/>
        </w:rPr>
        <w:t xml:space="preserve"> şekiller</w:t>
      </w:r>
      <w:r>
        <w:rPr>
          <w:rStyle w:val="fontstyle01"/>
          <w:color w:val="0D0D0D" w:themeColor="text1" w:themeTint="F2"/>
          <w:sz w:val="22"/>
          <w:szCs w:val="24"/>
        </w:rPr>
        <w:t xml:space="preserve"> halinde verilmi</w:t>
      </w:r>
      <w:r>
        <w:rPr>
          <w:rStyle w:val="fontstyle21"/>
          <w:rFonts w:ascii="Times New Roman" w:hAnsi="Times New Roman"/>
          <w:color w:val="0D0D0D" w:themeColor="text1" w:themeTint="F2"/>
          <w:sz w:val="22"/>
          <w:szCs w:val="24"/>
        </w:rPr>
        <w:t>ş</w:t>
      </w:r>
      <w:r>
        <w:rPr>
          <w:rStyle w:val="fontstyle01"/>
          <w:color w:val="0D0D0D" w:themeColor="text1" w:themeTint="F2"/>
          <w:sz w:val="22"/>
          <w:szCs w:val="24"/>
        </w:rPr>
        <w:t>tir.</w:t>
      </w:r>
    </w:p>
    <w:p w14:paraId="3BF9CE79" w14:textId="77777777" w:rsidR="00F25C60" w:rsidRDefault="00F25C60" w:rsidP="00F25C60">
      <w:pPr>
        <w:pStyle w:val="ListeParagraf"/>
        <w:tabs>
          <w:tab w:val="left" w:pos="284"/>
        </w:tabs>
        <w:ind w:left="0"/>
      </w:pPr>
      <w:r>
        <w:rPr>
          <w:rFonts w:ascii="Times New Roman" w:hAnsi="Times New Roman"/>
          <w:color w:val="0D0D0D" w:themeColor="text1" w:themeTint="F2"/>
          <w:sz w:val="22"/>
          <w:szCs w:val="24"/>
        </w:rPr>
        <w:t xml:space="preserve">Çalışma konumuz dâhilinde, Ulusal Tez Merkezinde kayıtlı bulunan toplam 46 adet lisansüstü tez, </w:t>
      </w:r>
      <w:r>
        <w:rPr>
          <w:rStyle w:val="fontstyle01"/>
          <w:color w:val="0D0D0D" w:themeColor="text1" w:themeTint="F2"/>
          <w:sz w:val="22"/>
          <w:szCs w:val="24"/>
        </w:rPr>
        <w:t>tez türleri açısından incelendiğinde;</w:t>
      </w:r>
      <w:r>
        <w:rPr>
          <w:rFonts w:ascii="Times New Roman" w:hAnsi="Times New Roman"/>
          <w:color w:val="0D0D0D" w:themeColor="text1" w:themeTint="F2"/>
          <w:sz w:val="22"/>
          <w:szCs w:val="24"/>
        </w:rPr>
        <w:t xml:space="preserve"> 40 adet yüksek lisans tezi, 6 adet doktora tezi olduğu tespit edilmiştir.</w:t>
      </w:r>
    </w:p>
    <w:p w14:paraId="7972D0AB"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p>
    <w:p w14:paraId="44BC32B9" w14:textId="5F368F46" w:rsidR="00F25C60" w:rsidRDefault="00F25C60" w:rsidP="00F25C60">
      <w:pPr>
        <w:pStyle w:val="ListeParagraf"/>
        <w:tabs>
          <w:tab w:val="left" w:pos="284"/>
        </w:tabs>
        <w:ind w:left="0"/>
        <w:jc w:val="center"/>
        <w:rPr>
          <w:rFonts w:ascii="Times New Roman" w:hAnsi="Times New Roman"/>
          <w:b/>
          <w:bCs/>
          <w:color w:val="0D0D0D" w:themeColor="text1" w:themeTint="F2"/>
          <w:sz w:val="22"/>
          <w:szCs w:val="24"/>
        </w:rPr>
      </w:pPr>
      <w:r>
        <w:rPr>
          <w:noProof/>
          <w:color w:val="0D0D0D" w:themeColor="text1" w:themeTint="F2"/>
        </w:rPr>
        <w:drawing>
          <wp:inline distT="0" distB="0" distL="0" distR="0" wp14:anchorId="727740D8" wp14:editId="59990A8C">
            <wp:extent cx="3086100" cy="1676400"/>
            <wp:effectExtent l="0" t="0" r="0" b="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2F2ADC4" w14:textId="77777777" w:rsidR="00F25C60" w:rsidRDefault="00F25C60" w:rsidP="00F25C60">
      <w:pPr>
        <w:pStyle w:val="ListeParagraf"/>
        <w:tabs>
          <w:tab w:val="left" w:pos="284"/>
        </w:tabs>
        <w:ind w:left="0"/>
        <w:jc w:val="center"/>
        <w:rPr>
          <w:rFonts w:ascii="Times New Roman" w:hAnsi="Times New Roman"/>
          <w:b/>
          <w:bCs/>
          <w:color w:val="0D0D0D" w:themeColor="text1" w:themeTint="F2"/>
          <w:sz w:val="22"/>
          <w:szCs w:val="24"/>
        </w:rPr>
      </w:pPr>
      <w:r>
        <w:rPr>
          <w:rFonts w:ascii="Times New Roman" w:hAnsi="Times New Roman"/>
          <w:b/>
          <w:color w:val="0D0D0D" w:themeColor="text1" w:themeTint="F2"/>
          <w:sz w:val="22"/>
          <w:szCs w:val="24"/>
        </w:rPr>
        <w:t xml:space="preserve">Şekil 1. </w:t>
      </w:r>
      <w:r>
        <w:rPr>
          <w:rFonts w:ascii="Times New Roman" w:hAnsi="Times New Roman"/>
          <w:b/>
          <w:bCs/>
          <w:color w:val="0D0D0D" w:themeColor="text1" w:themeTint="F2"/>
          <w:sz w:val="22"/>
          <w:szCs w:val="24"/>
        </w:rPr>
        <w:t>Tez Türleri Açısından</w:t>
      </w:r>
      <w:r>
        <w:rPr>
          <w:rFonts w:ascii="Times New Roman" w:hAnsi="Times New Roman"/>
          <w:b/>
          <w:color w:val="0D0D0D" w:themeColor="text1" w:themeTint="F2"/>
          <w:sz w:val="22"/>
          <w:szCs w:val="24"/>
        </w:rPr>
        <w:t xml:space="preserve"> </w:t>
      </w:r>
      <w:r>
        <w:rPr>
          <w:rFonts w:ascii="Times New Roman" w:hAnsi="Times New Roman"/>
          <w:b/>
          <w:bCs/>
          <w:color w:val="0D0D0D" w:themeColor="text1" w:themeTint="F2"/>
          <w:sz w:val="22"/>
          <w:szCs w:val="24"/>
        </w:rPr>
        <w:t>Lisansüstü Tezlerin İncelenmesi</w:t>
      </w:r>
    </w:p>
    <w:p w14:paraId="3300E16A" w14:textId="77777777" w:rsidR="00F25C60" w:rsidRDefault="00F25C60" w:rsidP="00F25C60">
      <w:pPr>
        <w:pStyle w:val="ListeParagraf"/>
        <w:tabs>
          <w:tab w:val="left" w:pos="284"/>
        </w:tabs>
        <w:ind w:left="0"/>
        <w:jc w:val="center"/>
        <w:rPr>
          <w:rFonts w:ascii="Times New Roman" w:hAnsi="Times New Roman"/>
          <w:b/>
          <w:bCs/>
          <w:color w:val="0D0D0D" w:themeColor="text1" w:themeTint="F2"/>
          <w:sz w:val="22"/>
          <w:szCs w:val="24"/>
        </w:rPr>
      </w:pPr>
    </w:p>
    <w:p w14:paraId="43D4759A"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Ulusal Tez Merkezi kayıtlarında, çalışma kapsamına alınan lisansüstü tezlerin 41 tanesinin tam metni erişime açıkken, 5 tanesinin erişimi kapalıdır.</w:t>
      </w:r>
    </w:p>
    <w:p w14:paraId="48B07A79" w14:textId="77777777" w:rsidR="00F25C60" w:rsidRDefault="00F25C60" w:rsidP="00F25C60">
      <w:pPr>
        <w:pStyle w:val="ListeParagraf"/>
        <w:tabs>
          <w:tab w:val="left" w:pos="284"/>
        </w:tabs>
        <w:ind w:left="0"/>
        <w:rPr>
          <w:rFonts w:ascii="Times New Roman" w:hAnsi="Times New Roman"/>
          <w:b/>
          <w:bCs/>
          <w:color w:val="0D0D0D" w:themeColor="text1" w:themeTint="F2"/>
          <w:sz w:val="22"/>
          <w:szCs w:val="24"/>
        </w:rPr>
      </w:pPr>
    </w:p>
    <w:p w14:paraId="35575284" w14:textId="2FA67063" w:rsidR="00F25C60" w:rsidRDefault="00F25C60" w:rsidP="00F25C60">
      <w:pPr>
        <w:pStyle w:val="ListeParagraf"/>
        <w:tabs>
          <w:tab w:val="left" w:pos="284"/>
        </w:tabs>
        <w:ind w:left="0"/>
        <w:jc w:val="center"/>
        <w:rPr>
          <w:rFonts w:ascii="Times New Roman" w:hAnsi="Times New Roman"/>
          <w:b/>
          <w:bCs/>
          <w:color w:val="0D0D0D" w:themeColor="text1" w:themeTint="F2"/>
          <w:sz w:val="22"/>
          <w:szCs w:val="24"/>
        </w:rPr>
      </w:pPr>
      <w:r>
        <w:rPr>
          <w:noProof/>
          <w:color w:val="0D0D0D" w:themeColor="text1" w:themeTint="F2"/>
        </w:rPr>
        <w:drawing>
          <wp:inline distT="0" distB="0" distL="0" distR="0" wp14:anchorId="63FF8AF7" wp14:editId="70EC2DD0">
            <wp:extent cx="3194050" cy="1841500"/>
            <wp:effectExtent l="0" t="0" r="6350" b="6350"/>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20574A2" w14:textId="77777777" w:rsidR="00F25C60" w:rsidRDefault="00F25C60" w:rsidP="00F25C60">
      <w:pPr>
        <w:pStyle w:val="ListeParagraf"/>
        <w:tabs>
          <w:tab w:val="left" w:pos="284"/>
        </w:tabs>
        <w:ind w:left="0"/>
        <w:jc w:val="center"/>
        <w:rPr>
          <w:rFonts w:ascii="Times New Roman" w:hAnsi="Times New Roman"/>
          <w:b/>
          <w:bCs/>
          <w:color w:val="0D0D0D" w:themeColor="text1" w:themeTint="F2"/>
          <w:sz w:val="22"/>
          <w:szCs w:val="24"/>
        </w:rPr>
      </w:pPr>
      <w:r>
        <w:rPr>
          <w:rFonts w:ascii="Times New Roman" w:hAnsi="Times New Roman"/>
          <w:b/>
          <w:color w:val="0D0D0D" w:themeColor="text1" w:themeTint="F2"/>
          <w:sz w:val="22"/>
          <w:szCs w:val="24"/>
        </w:rPr>
        <w:t xml:space="preserve">Şekil 2. </w:t>
      </w:r>
      <w:r>
        <w:rPr>
          <w:rFonts w:ascii="Times New Roman" w:hAnsi="Times New Roman"/>
          <w:b/>
          <w:bCs/>
          <w:color w:val="0D0D0D" w:themeColor="text1" w:themeTint="F2"/>
          <w:sz w:val="22"/>
          <w:szCs w:val="24"/>
        </w:rPr>
        <w:t>Lisansüstü Tezlerin Tam Metin Erişilebilirliği</w:t>
      </w:r>
    </w:p>
    <w:p w14:paraId="56584D28" w14:textId="77777777" w:rsidR="00F25C60" w:rsidRDefault="00F25C60" w:rsidP="00F25C60">
      <w:pPr>
        <w:pStyle w:val="ListeParagraf"/>
        <w:tabs>
          <w:tab w:val="left" w:pos="284"/>
        </w:tabs>
        <w:ind w:left="0"/>
        <w:rPr>
          <w:rFonts w:ascii="Times New Roman" w:hAnsi="Times New Roman"/>
          <w:b/>
          <w:bCs/>
          <w:color w:val="0D0D0D" w:themeColor="text1" w:themeTint="F2"/>
          <w:sz w:val="22"/>
          <w:szCs w:val="24"/>
        </w:rPr>
      </w:pPr>
    </w:p>
    <w:p w14:paraId="1494DD5D"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 xml:space="preserve">Lisansüstü tezler yazar cinsiyet dağılımı bakımından incelendiğinde; tezlerin 31 tanesi kadın, 15 tanesi erkek öğrenciler tarafından gerçekleştirilmiş olup,  kadın öğrencilerin sayılarının erkek öğrencilere oranla daha fazla olduğu görülmektedir. </w:t>
      </w:r>
    </w:p>
    <w:p w14:paraId="2DFCE67E" w14:textId="77777777" w:rsidR="00F25C60" w:rsidRDefault="00F25C60" w:rsidP="00F25C60">
      <w:pPr>
        <w:pStyle w:val="ListeParagraf"/>
        <w:tabs>
          <w:tab w:val="left" w:pos="284"/>
        </w:tabs>
        <w:ind w:left="0"/>
        <w:rPr>
          <w:rFonts w:ascii="Times New Roman" w:hAnsi="Times New Roman"/>
          <w:b/>
          <w:color w:val="0D0D0D" w:themeColor="text1" w:themeTint="F2"/>
          <w:sz w:val="22"/>
          <w:szCs w:val="24"/>
        </w:rPr>
      </w:pPr>
    </w:p>
    <w:p w14:paraId="5A2341F8" w14:textId="3DF494FC" w:rsidR="00F25C60" w:rsidRDefault="00F25C60" w:rsidP="00F25C60">
      <w:pPr>
        <w:pStyle w:val="ListeParagraf"/>
        <w:tabs>
          <w:tab w:val="left" w:pos="284"/>
        </w:tabs>
        <w:ind w:left="0"/>
        <w:jc w:val="center"/>
        <w:rPr>
          <w:rFonts w:ascii="Times New Roman" w:hAnsi="Times New Roman"/>
          <w:b/>
          <w:color w:val="0D0D0D" w:themeColor="text1" w:themeTint="F2"/>
          <w:sz w:val="22"/>
          <w:szCs w:val="24"/>
        </w:rPr>
      </w:pPr>
      <w:r>
        <w:rPr>
          <w:noProof/>
          <w:color w:val="0D0D0D" w:themeColor="text1" w:themeTint="F2"/>
        </w:rPr>
        <w:lastRenderedPageBreak/>
        <w:drawing>
          <wp:inline distT="0" distB="0" distL="0" distR="0" wp14:anchorId="5D83002B" wp14:editId="099BED8B">
            <wp:extent cx="3086100" cy="1727200"/>
            <wp:effectExtent l="0" t="0" r="0" b="635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A6AAE7" w14:textId="77777777" w:rsidR="00F25C60" w:rsidRDefault="00F25C60" w:rsidP="00F25C60">
      <w:pPr>
        <w:pStyle w:val="ListeParagraf"/>
        <w:tabs>
          <w:tab w:val="left" w:pos="284"/>
        </w:tabs>
        <w:ind w:left="0"/>
        <w:jc w:val="center"/>
        <w:rPr>
          <w:rFonts w:ascii="Times New Roman" w:hAnsi="Times New Roman"/>
          <w:b/>
          <w:color w:val="0D0D0D" w:themeColor="text1" w:themeTint="F2"/>
          <w:sz w:val="22"/>
          <w:szCs w:val="24"/>
        </w:rPr>
      </w:pPr>
      <w:r>
        <w:rPr>
          <w:rFonts w:ascii="Times New Roman" w:hAnsi="Times New Roman"/>
          <w:b/>
          <w:color w:val="0D0D0D" w:themeColor="text1" w:themeTint="F2"/>
          <w:sz w:val="22"/>
          <w:szCs w:val="24"/>
        </w:rPr>
        <w:t xml:space="preserve">Şekil 3. </w:t>
      </w:r>
      <w:r>
        <w:rPr>
          <w:rFonts w:ascii="Times New Roman" w:hAnsi="Times New Roman"/>
          <w:b/>
          <w:bCs/>
          <w:color w:val="0D0D0D" w:themeColor="text1" w:themeTint="F2"/>
          <w:sz w:val="22"/>
          <w:szCs w:val="24"/>
        </w:rPr>
        <w:t xml:space="preserve">Lisansüstü Tezlerin </w:t>
      </w:r>
      <w:r>
        <w:rPr>
          <w:rFonts w:ascii="Times New Roman" w:hAnsi="Times New Roman"/>
          <w:b/>
          <w:color w:val="0D0D0D" w:themeColor="text1" w:themeTint="F2"/>
          <w:sz w:val="22"/>
          <w:szCs w:val="24"/>
        </w:rPr>
        <w:t>Yazar Cinsiyet Dağılımı</w:t>
      </w:r>
    </w:p>
    <w:p w14:paraId="35F7114C" w14:textId="77777777" w:rsidR="00F25C60" w:rsidRDefault="00F25C60" w:rsidP="00F25C60">
      <w:pPr>
        <w:pStyle w:val="ListeParagraf"/>
        <w:tabs>
          <w:tab w:val="left" w:pos="284"/>
        </w:tabs>
        <w:ind w:left="0"/>
        <w:jc w:val="center"/>
        <w:rPr>
          <w:rFonts w:ascii="Times New Roman" w:hAnsi="Times New Roman"/>
          <w:b/>
          <w:color w:val="0D0D0D" w:themeColor="text1" w:themeTint="F2"/>
          <w:sz w:val="22"/>
          <w:szCs w:val="24"/>
        </w:rPr>
      </w:pPr>
    </w:p>
    <w:p w14:paraId="625F5EFC"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“Çevre Bilinci” konusunda yapılan lisansüstü tezlerin Üniversitelere göre dağılımı incelendiğinde; eğitim alanında</w:t>
      </w:r>
      <w:r>
        <w:rPr>
          <w:rFonts w:ascii="Times New Roman" w:hAnsi="Times New Roman"/>
          <w:b/>
          <w:color w:val="0D0D0D" w:themeColor="text1" w:themeTint="F2"/>
          <w:sz w:val="22"/>
          <w:szCs w:val="24"/>
        </w:rPr>
        <w:t xml:space="preserve"> </w:t>
      </w:r>
      <w:r>
        <w:rPr>
          <w:rFonts w:ascii="Times New Roman" w:hAnsi="Times New Roman"/>
          <w:color w:val="0D0D0D" w:themeColor="text1" w:themeTint="F2"/>
          <w:sz w:val="22"/>
          <w:szCs w:val="24"/>
        </w:rPr>
        <w:t>Gazi Üniversitesinin ön planda olduğu ve bunu Hacettepe Üniversitesinin izlediği görülmektedir. Bu durumun bahsi geçen üniversitelerimizin ülkemizde uzun yıllar geçmişi olan, çok köklü üniversiteler olmalarından kaynaklandığı düşünülebilir.</w:t>
      </w:r>
    </w:p>
    <w:p w14:paraId="7FCBC33C" w14:textId="1C09179E" w:rsidR="00F25C60" w:rsidRDefault="00F25C60" w:rsidP="00F25C60">
      <w:pPr>
        <w:pStyle w:val="ListeParagraf"/>
        <w:tabs>
          <w:tab w:val="left" w:pos="284"/>
        </w:tabs>
        <w:ind w:left="0"/>
        <w:rPr>
          <w:rFonts w:ascii="Times New Roman" w:hAnsi="Times New Roman"/>
          <w:b/>
          <w:color w:val="0D0D0D" w:themeColor="text1" w:themeTint="F2"/>
          <w:sz w:val="22"/>
          <w:szCs w:val="24"/>
        </w:rPr>
      </w:pPr>
      <w:r>
        <w:rPr>
          <w:noProof/>
          <w:color w:val="0D0D0D" w:themeColor="text1" w:themeTint="F2"/>
        </w:rPr>
        <w:drawing>
          <wp:inline distT="0" distB="0" distL="0" distR="0" wp14:anchorId="05AA54AE" wp14:editId="75A0271A">
            <wp:extent cx="5651500" cy="2781300"/>
            <wp:effectExtent l="0" t="0" r="6350" b="0"/>
            <wp:docPr id="13"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0DBEE5" w14:textId="77777777" w:rsidR="00F25C60" w:rsidRDefault="00F25C60" w:rsidP="00F25C60">
      <w:pPr>
        <w:pStyle w:val="ListeParagraf"/>
        <w:tabs>
          <w:tab w:val="left" w:pos="284"/>
        </w:tabs>
        <w:ind w:left="0"/>
        <w:rPr>
          <w:rFonts w:ascii="Times New Roman" w:hAnsi="Times New Roman"/>
          <w:b/>
          <w:color w:val="0D0D0D" w:themeColor="text1" w:themeTint="F2"/>
          <w:sz w:val="22"/>
          <w:szCs w:val="24"/>
        </w:rPr>
      </w:pPr>
    </w:p>
    <w:p w14:paraId="756138D2" w14:textId="77777777" w:rsidR="00F25C60" w:rsidRDefault="00F25C60" w:rsidP="00F25C60">
      <w:pPr>
        <w:pStyle w:val="ListeParagraf"/>
        <w:tabs>
          <w:tab w:val="left" w:pos="284"/>
        </w:tabs>
        <w:ind w:left="0"/>
        <w:jc w:val="center"/>
        <w:rPr>
          <w:rFonts w:ascii="Times New Roman" w:hAnsi="Times New Roman"/>
          <w:b/>
          <w:color w:val="0D0D0D" w:themeColor="text1" w:themeTint="F2"/>
          <w:sz w:val="22"/>
          <w:szCs w:val="24"/>
        </w:rPr>
      </w:pPr>
      <w:r>
        <w:rPr>
          <w:rFonts w:ascii="Times New Roman" w:hAnsi="Times New Roman"/>
          <w:b/>
          <w:color w:val="0D0D0D" w:themeColor="text1" w:themeTint="F2"/>
          <w:sz w:val="22"/>
          <w:szCs w:val="24"/>
        </w:rPr>
        <w:t xml:space="preserve">Şekil 4. </w:t>
      </w:r>
      <w:r>
        <w:rPr>
          <w:rFonts w:ascii="Times New Roman" w:hAnsi="Times New Roman"/>
          <w:b/>
          <w:bCs/>
          <w:color w:val="0D0D0D" w:themeColor="text1" w:themeTint="F2"/>
          <w:sz w:val="22"/>
          <w:szCs w:val="24"/>
        </w:rPr>
        <w:t xml:space="preserve">Lisansüstü Tezlerin </w:t>
      </w:r>
      <w:r>
        <w:rPr>
          <w:rFonts w:ascii="Times New Roman" w:hAnsi="Times New Roman"/>
          <w:b/>
          <w:color w:val="0D0D0D" w:themeColor="text1" w:themeTint="F2"/>
          <w:sz w:val="22"/>
          <w:szCs w:val="24"/>
        </w:rPr>
        <w:t>Üniversitelere Göre Dağılımı</w:t>
      </w:r>
    </w:p>
    <w:p w14:paraId="2DCDC421" w14:textId="77777777" w:rsidR="00F25C60" w:rsidRDefault="00F25C60" w:rsidP="00F25C60">
      <w:pPr>
        <w:pStyle w:val="ListeParagraf"/>
        <w:tabs>
          <w:tab w:val="left" w:pos="284"/>
        </w:tabs>
        <w:ind w:left="0"/>
        <w:rPr>
          <w:rFonts w:ascii="Times New Roman" w:hAnsi="Times New Roman"/>
          <w:b/>
          <w:color w:val="0D0D0D" w:themeColor="text1" w:themeTint="F2"/>
          <w:sz w:val="22"/>
          <w:szCs w:val="24"/>
        </w:rPr>
      </w:pPr>
    </w:p>
    <w:p w14:paraId="49E9F8EF"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Lisansüstü tezlerin Anabilim Dallarına göre dağılımı incelendiğinde; tezlerin büyük bir çoğunluğunun İlköğretim Anabilim Dalı kapsamında yazıldığı görülmektedir. Bunu sırasıyla Güzel Sanatlar Eğitimi, Resim-İş Öğretmenliği ve Eğitim Bilimleri Anabilim dalları takip etmektedir.</w:t>
      </w:r>
    </w:p>
    <w:p w14:paraId="2FFFC596" w14:textId="17C220FE" w:rsidR="00F25C60" w:rsidRDefault="00F25C60" w:rsidP="00F25C60">
      <w:pPr>
        <w:pStyle w:val="ListeParagraf"/>
        <w:tabs>
          <w:tab w:val="left" w:pos="284"/>
        </w:tabs>
        <w:ind w:left="0"/>
        <w:rPr>
          <w:rFonts w:ascii="Times New Roman" w:hAnsi="Times New Roman"/>
          <w:b/>
          <w:color w:val="0D0D0D" w:themeColor="text1" w:themeTint="F2"/>
          <w:sz w:val="22"/>
          <w:szCs w:val="24"/>
        </w:rPr>
      </w:pPr>
      <w:r>
        <w:rPr>
          <w:noProof/>
          <w:color w:val="0D0D0D" w:themeColor="text1" w:themeTint="F2"/>
        </w:rPr>
        <w:lastRenderedPageBreak/>
        <w:drawing>
          <wp:inline distT="0" distB="0" distL="0" distR="0" wp14:anchorId="727F4FA1" wp14:editId="4718A6C1">
            <wp:extent cx="5410200" cy="4584700"/>
            <wp:effectExtent l="0" t="0" r="0" b="635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4BE064" w14:textId="77777777" w:rsidR="00F25C60" w:rsidRDefault="00F25C60" w:rsidP="00F25C60">
      <w:pPr>
        <w:pStyle w:val="ListeParagraf"/>
        <w:tabs>
          <w:tab w:val="left" w:pos="284"/>
        </w:tabs>
        <w:ind w:left="0"/>
        <w:jc w:val="center"/>
        <w:rPr>
          <w:rFonts w:ascii="Times New Roman" w:hAnsi="Times New Roman"/>
          <w:b/>
          <w:color w:val="0D0D0D" w:themeColor="text1" w:themeTint="F2"/>
          <w:sz w:val="22"/>
          <w:szCs w:val="24"/>
        </w:rPr>
      </w:pPr>
      <w:r>
        <w:rPr>
          <w:rFonts w:ascii="Times New Roman" w:hAnsi="Times New Roman"/>
          <w:b/>
          <w:color w:val="0D0D0D" w:themeColor="text1" w:themeTint="F2"/>
          <w:sz w:val="22"/>
          <w:szCs w:val="24"/>
        </w:rPr>
        <w:t xml:space="preserve">Şekil 5. </w:t>
      </w:r>
      <w:r>
        <w:rPr>
          <w:rFonts w:ascii="Times New Roman" w:hAnsi="Times New Roman"/>
          <w:b/>
          <w:bCs/>
          <w:color w:val="0D0D0D" w:themeColor="text1" w:themeTint="F2"/>
          <w:sz w:val="22"/>
          <w:szCs w:val="24"/>
        </w:rPr>
        <w:t xml:space="preserve">Lisansüstü Tezlerin </w:t>
      </w:r>
      <w:r>
        <w:rPr>
          <w:rFonts w:ascii="Times New Roman" w:hAnsi="Times New Roman"/>
          <w:b/>
          <w:color w:val="0D0D0D" w:themeColor="text1" w:themeTint="F2"/>
          <w:sz w:val="22"/>
          <w:szCs w:val="24"/>
        </w:rPr>
        <w:t>Anabilim Dallarına Göre Dağılımı</w:t>
      </w:r>
    </w:p>
    <w:p w14:paraId="33EC0816" w14:textId="77777777" w:rsidR="00F25C60" w:rsidRDefault="00F25C60" w:rsidP="00F25C60">
      <w:pPr>
        <w:pStyle w:val="ListeParagraf"/>
        <w:tabs>
          <w:tab w:val="left" w:pos="284"/>
        </w:tabs>
        <w:ind w:left="0"/>
        <w:jc w:val="center"/>
        <w:rPr>
          <w:rFonts w:ascii="Times New Roman" w:hAnsi="Times New Roman"/>
          <w:b/>
          <w:color w:val="0D0D0D" w:themeColor="text1" w:themeTint="F2"/>
          <w:sz w:val="22"/>
          <w:szCs w:val="24"/>
        </w:rPr>
      </w:pPr>
    </w:p>
    <w:p w14:paraId="00FF10D6"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Lisansüstü tezlerin yıllara göre dağılımı incelendiğinde; “Çevre Bilinci” konusunda yapılan çalışmalarda yıllara göre dağılımların oldukça farklı olduğu görülmektedir. Çevre politikalarında ve medyada çevre bilinci ve duyarlılığı konularının öncelik bulmasıyla, halkımızın gün geçtikçe bu konularda bilinçlenmesinin sağlanması oldukça önem taşımaktadır.</w:t>
      </w:r>
    </w:p>
    <w:p w14:paraId="543587E1" w14:textId="77777777" w:rsidR="00F25C60" w:rsidRDefault="00F25C60" w:rsidP="00F25C60">
      <w:pPr>
        <w:pStyle w:val="ListeParagraf"/>
        <w:tabs>
          <w:tab w:val="left" w:pos="284"/>
        </w:tabs>
        <w:ind w:left="0"/>
        <w:rPr>
          <w:rFonts w:ascii="Times New Roman" w:hAnsi="Times New Roman"/>
          <w:b/>
          <w:color w:val="0D0D0D" w:themeColor="text1" w:themeTint="F2"/>
          <w:sz w:val="22"/>
          <w:szCs w:val="24"/>
        </w:rPr>
      </w:pPr>
    </w:p>
    <w:p w14:paraId="24AAAE0A" w14:textId="49D11C1C" w:rsidR="00F25C60" w:rsidRDefault="00F25C60" w:rsidP="00F25C60">
      <w:pPr>
        <w:pStyle w:val="ListeParagraf"/>
        <w:tabs>
          <w:tab w:val="left" w:pos="284"/>
        </w:tabs>
        <w:ind w:left="0"/>
        <w:jc w:val="center"/>
        <w:rPr>
          <w:rFonts w:ascii="Times New Roman" w:hAnsi="Times New Roman"/>
          <w:b/>
          <w:color w:val="0D0D0D" w:themeColor="text1" w:themeTint="F2"/>
          <w:sz w:val="22"/>
          <w:szCs w:val="24"/>
        </w:rPr>
      </w:pPr>
      <w:r>
        <w:rPr>
          <w:noProof/>
          <w:color w:val="0D0D0D" w:themeColor="text1" w:themeTint="F2"/>
        </w:rPr>
        <w:drawing>
          <wp:inline distT="0" distB="0" distL="0" distR="0" wp14:anchorId="191ECB14" wp14:editId="45B848E4">
            <wp:extent cx="4419600" cy="1536700"/>
            <wp:effectExtent l="0" t="0" r="0" b="635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E378C5" w14:textId="77777777" w:rsidR="00F25C60" w:rsidRDefault="00F25C60" w:rsidP="00F25C60">
      <w:pPr>
        <w:pStyle w:val="ListeParagraf"/>
        <w:tabs>
          <w:tab w:val="left" w:pos="284"/>
        </w:tabs>
        <w:ind w:left="0"/>
        <w:jc w:val="center"/>
        <w:rPr>
          <w:rFonts w:ascii="Times New Roman" w:hAnsi="Times New Roman"/>
          <w:b/>
          <w:color w:val="0D0D0D" w:themeColor="text1" w:themeTint="F2"/>
          <w:sz w:val="22"/>
          <w:szCs w:val="24"/>
        </w:rPr>
      </w:pPr>
      <w:r>
        <w:rPr>
          <w:rFonts w:ascii="Times New Roman" w:hAnsi="Times New Roman"/>
          <w:b/>
          <w:color w:val="0D0D0D" w:themeColor="text1" w:themeTint="F2"/>
          <w:sz w:val="22"/>
          <w:szCs w:val="24"/>
        </w:rPr>
        <w:t xml:space="preserve">Şekil 6. </w:t>
      </w:r>
      <w:r>
        <w:rPr>
          <w:rFonts w:ascii="Times New Roman" w:hAnsi="Times New Roman"/>
          <w:b/>
          <w:bCs/>
          <w:color w:val="0D0D0D" w:themeColor="text1" w:themeTint="F2"/>
          <w:sz w:val="22"/>
          <w:szCs w:val="24"/>
        </w:rPr>
        <w:t xml:space="preserve">Lisansüstü Tezlerin </w:t>
      </w:r>
      <w:r>
        <w:rPr>
          <w:rFonts w:ascii="Times New Roman" w:hAnsi="Times New Roman"/>
          <w:b/>
          <w:color w:val="0D0D0D" w:themeColor="text1" w:themeTint="F2"/>
          <w:sz w:val="22"/>
          <w:szCs w:val="24"/>
        </w:rPr>
        <w:t>Yıllara Göre Dağılımı</w:t>
      </w:r>
    </w:p>
    <w:p w14:paraId="2B9CEDD1" w14:textId="77777777" w:rsidR="00F25C60" w:rsidRDefault="00F25C60" w:rsidP="00F25C60">
      <w:pPr>
        <w:pStyle w:val="ListeParagraf"/>
        <w:tabs>
          <w:tab w:val="left" w:pos="284"/>
        </w:tabs>
        <w:ind w:left="0"/>
        <w:rPr>
          <w:rFonts w:ascii="Times New Roman" w:hAnsi="Times New Roman"/>
          <w:b/>
          <w:color w:val="0D0D0D" w:themeColor="text1" w:themeTint="F2"/>
          <w:sz w:val="22"/>
          <w:szCs w:val="24"/>
        </w:rPr>
      </w:pPr>
    </w:p>
    <w:p w14:paraId="3E5C3302"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lastRenderedPageBreak/>
        <w:t xml:space="preserve">Çalışma konusu kapsamında yayımlanmış yüksek lisans ve doktora tezlerinin </w:t>
      </w:r>
      <w:r>
        <w:rPr>
          <w:rFonts w:ascii="Times New Roman" w:hAnsi="Times New Roman"/>
          <w:i/>
          <w:color w:val="0D0D0D" w:themeColor="text1" w:themeTint="F2"/>
          <w:sz w:val="22"/>
          <w:szCs w:val="24"/>
        </w:rPr>
        <w:t>ortalama</w:t>
      </w:r>
      <w:r>
        <w:rPr>
          <w:rFonts w:ascii="Times New Roman" w:hAnsi="Times New Roman"/>
          <w:color w:val="0D0D0D" w:themeColor="text1" w:themeTint="F2"/>
          <w:sz w:val="22"/>
          <w:szCs w:val="24"/>
        </w:rPr>
        <w:t xml:space="preserve"> sayfa dağılımları analiz edilmiş olup, doktora tezlerinin sayfa dağılımlarının yüksek lisans tezlerinin sayfa dağılımlarından daha yüksek olduğu gözlenmiştir. </w:t>
      </w:r>
    </w:p>
    <w:p w14:paraId="721DA386" w14:textId="77777777" w:rsidR="00F25C60" w:rsidRDefault="00F25C60" w:rsidP="00F25C60">
      <w:pPr>
        <w:pStyle w:val="ListeParagraf"/>
        <w:tabs>
          <w:tab w:val="left" w:pos="284"/>
        </w:tabs>
        <w:ind w:left="0"/>
        <w:rPr>
          <w:rFonts w:ascii="Times New Roman" w:hAnsi="Times New Roman"/>
          <w:b/>
          <w:bCs/>
          <w:color w:val="0D0D0D" w:themeColor="text1" w:themeTint="F2"/>
          <w:sz w:val="22"/>
          <w:szCs w:val="24"/>
        </w:rPr>
      </w:pPr>
    </w:p>
    <w:p w14:paraId="761736AD" w14:textId="2BF0E6E7" w:rsidR="00F25C60" w:rsidRDefault="00F25C60" w:rsidP="00F25C60">
      <w:pPr>
        <w:pStyle w:val="ListeParagraf"/>
        <w:tabs>
          <w:tab w:val="left" w:pos="284"/>
        </w:tabs>
        <w:ind w:left="0"/>
        <w:jc w:val="center"/>
        <w:rPr>
          <w:rFonts w:ascii="Times New Roman" w:hAnsi="Times New Roman"/>
          <w:b/>
          <w:bCs/>
          <w:color w:val="0D0D0D" w:themeColor="text1" w:themeTint="F2"/>
          <w:sz w:val="22"/>
          <w:szCs w:val="24"/>
        </w:rPr>
      </w:pPr>
      <w:r>
        <w:rPr>
          <w:noProof/>
          <w:color w:val="0D0D0D" w:themeColor="text1" w:themeTint="F2"/>
        </w:rPr>
        <w:drawing>
          <wp:inline distT="0" distB="0" distL="0" distR="0" wp14:anchorId="4D616DD8" wp14:editId="65F2BAB0">
            <wp:extent cx="3632200" cy="1555750"/>
            <wp:effectExtent l="0" t="0" r="6350" b="6350"/>
            <wp:docPr id="55" name="Grafik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99735F" w14:textId="77777777" w:rsidR="00F25C60" w:rsidRDefault="00F25C60" w:rsidP="00F25C60">
      <w:pPr>
        <w:pStyle w:val="ListeParagraf"/>
        <w:tabs>
          <w:tab w:val="left" w:pos="284"/>
        </w:tabs>
        <w:ind w:left="0"/>
        <w:jc w:val="center"/>
        <w:rPr>
          <w:rFonts w:ascii="Times New Roman" w:hAnsi="Times New Roman"/>
          <w:b/>
          <w:bCs/>
          <w:color w:val="0D0D0D" w:themeColor="text1" w:themeTint="F2"/>
          <w:sz w:val="22"/>
          <w:szCs w:val="24"/>
        </w:rPr>
      </w:pPr>
      <w:r>
        <w:rPr>
          <w:rFonts w:ascii="Times New Roman" w:hAnsi="Times New Roman"/>
          <w:b/>
          <w:color w:val="0D0D0D" w:themeColor="text1" w:themeTint="F2"/>
          <w:sz w:val="22"/>
          <w:szCs w:val="24"/>
        </w:rPr>
        <w:t xml:space="preserve">Şekil 7. </w:t>
      </w:r>
      <w:r>
        <w:rPr>
          <w:rFonts w:ascii="Times New Roman" w:hAnsi="Times New Roman"/>
          <w:b/>
          <w:bCs/>
          <w:color w:val="0D0D0D" w:themeColor="text1" w:themeTint="F2"/>
          <w:sz w:val="22"/>
          <w:szCs w:val="24"/>
        </w:rPr>
        <w:t>Yüksek Lisans ve Doktora Tezlerinin Ortalama Sayfa Dağılımları</w:t>
      </w:r>
    </w:p>
    <w:p w14:paraId="60EBEC56" w14:textId="77777777" w:rsidR="00F25C60" w:rsidRDefault="00F25C60" w:rsidP="00F25C60">
      <w:pPr>
        <w:pStyle w:val="ListeParagraf"/>
        <w:tabs>
          <w:tab w:val="left" w:pos="284"/>
        </w:tabs>
        <w:ind w:left="0"/>
        <w:rPr>
          <w:rFonts w:ascii="Times New Roman" w:hAnsi="Times New Roman"/>
          <w:b/>
          <w:bCs/>
          <w:color w:val="0D0D0D" w:themeColor="text1" w:themeTint="F2"/>
          <w:sz w:val="22"/>
          <w:szCs w:val="24"/>
        </w:rPr>
      </w:pPr>
    </w:p>
    <w:p w14:paraId="55D67D93"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 xml:space="preserve">Ortalama atıf sayıları açısından değerlendirme yapıldığında, doktora tezlerinin yüksek lisans tezlerine oranla daha geniş kapsamlı olması nedeniyle ortalama atıf sayılarının da daha yüksek olduğu görülmektedir. Yüksek lisans tezlerinin </w:t>
      </w:r>
      <w:r>
        <w:rPr>
          <w:rFonts w:ascii="Times New Roman" w:hAnsi="Times New Roman"/>
          <w:i/>
          <w:color w:val="0D0D0D" w:themeColor="text1" w:themeTint="F2"/>
          <w:sz w:val="22"/>
          <w:szCs w:val="24"/>
        </w:rPr>
        <w:t>ortalama</w:t>
      </w:r>
      <w:r>
        <w:rPr>
          <w:rFonts w:ascii="Times New Roman" w:hAnsi="Times New Roman"/>
          <w:color w:val="0D0D0D" w:themeColor="text1" w:themeTint="F2"/>
          <w:sz w:val="22"/>
          <w:szCs w:val="24"/>
        </w:rPr>
        <w:t xml:space="preserve"> atıf sayıları 87 iken, doktora tezlerinin </w:t>
      </w:r>
      <w:r>
        <w:rPr>
          <w:rFonts w:ascii="Times New Roman" w:hAnsi="Times New Roman"/>
          <w:i/>
          <w:color w:val="0D0D0D" w:themeColor="text1" w:themeTint="F2"/>
          <w:sz w:val="22"/>
          <w:szCs w:val="24"/>
        </w:rPr>
        <w:t>ortalama</w:t>
      </w:r>
      <w:r>
        <w:rPr>
          <w:rFonts w:ascii="Times New Roman" w:hAnsi="Times New Roman"/>
          <w:color w:val="0D0D0D" w:themeColor="text1" w:themeTint="F2"/>
          <w:sz w:val="22"/>
          <w:szCs w:val="24"/>
        </w:rPr>
        <w:t xml:space="preserve"> atıf sayılarının 158 olduğu saptanmıştır.</w:t>
      </w:r>
    </w:p>
    <w:p w14:paraId="209C648B" w14:textId="72A63634"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r>
        <w:rPr>
          <w:noProof/>
          <w:color w:val="0D0D0D" w:themeColor="text1" w:themeTint="F2"/>
        </w:rPr>
        <w:drawing>
          <wp:inline distT="0" distB="0" distL="0" distR="0" wp14:anchorId="2DBFDE6C" wp14:editId="30B03321">
            <wp:extent cx="3943350" cy="2019300"/>
            <wp:effectExtent l="0" t="0" r="0" b="0"/>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C9F0CE" w14:textId="77777777"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r>
        <w:rPr>
          <w:rFonts w:ascii="Times New Roman" w:hAnsi="Times New Roman"/>
          <w:b/>
          <w:color w:val="0D0D0D" w:themeColor="text1" w:themeTint="F2"/>
          <w:sz w:val="22"/>
          <w:szCs w:val="24"/>
        </w:rPr>
        <w:t xml:space="preserve">Şekil 8. </w:t>
      </w:r>
      <w:r>
        <w:rPr>
          <w:rFonts w:ascii="Times New Roman" w:hAnsi="Times New Roman"/>
          <w:b/>
          <w:bCs/>
          <w:color w:val="0D0D0D" w:themeColor="text1" w:themeTint="F2"/>
          <w:sz w:val="22"/>
          <w:szCs w:val="24"/>
        </w:rPr>
        <w:t xml:space="preserve">Lisansüstü Tezlerin </w:t>
      </w:r>
      <w:r>
        <w:rPr>
          <w:rFonts w:ascii="Times New Roman" w:hAnsi="Times New Roman"/>
          <w:b/>
          <w:color w:val="0D0D0D" w:themeColor="text1" w:themeTint="F2"/>
          <w:sz w:val="22"/>
          <w:szCs w:val="24"/>
        </w:rPr>
        <w:t>Ortalama Atıf Sayıları</w:t>
      </w:r>
    </w:p>
    <w:p w14:paraId="2027CD2E"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p>
    <w:p w14:paraId="31F715FC"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 xml:space="preserve">Kaynakça analizine bakıldığında; yüksek lisans tezlerinde ağırlıklı olarak Türkçe, doktora tezlerinde ise ağırlıklı olarak yabancı dil kaynakların kullanıldığı görülmektedir. Yapılan analiz sonucunda, erişime açık olan yüksek lisans ve doktora tezlerinde 1602 adet makale, 1217 adet kitap, 553 adet tez, 677 adet diğer kaynaklar (sözlük, ansiklopedi, internet sitesi, gazete, sempozyum, rapor, bildiri vs.) kullanılmıştır. </w:t>
      </w:r>
    </w:p>
    <w:p w14:paraId="6F1327D4"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 xml:space="preserve">Tezlerde en fazla makalelerden yararlanılmış, bunu kitap ve sözlük, ansiklopedi, bildiri vs. gibi diğer kaynaklar takip etmiştir. İncelenen lisansüstü tezlerde 2334 adet tek yazarlı kaynak, 833 adet iki yazarlı, 882 adet çok yazarlı kaynak kullanılmıştır. </w:t>
      </w:r>
    </w:p>
    <w:p w14:paraId="4CEBF490"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lastRenderedPageBreak/>
        <w:t xml:space="preserve">Yazar sayısına göre analiz edildiğinde, erişime açık olan 35 adet yüksek lisans tezlerinde </w:t>
      </w:r>
      <w:r>
        <w:rPr>
          <w:rFonts w:ascii="Times New Roman" w:hAnsi="Times New Roman"/>
          <w:i/>
          <w:color w:val="0D0D0D" w:themeColor="text1" w:themeTint="F2"/>
          <w:sz w:val="22"/>
          <w:szCs w:val="24"/>
        </w:rPr>
        <w:t>ortalama</w:t>
      </w:r>
      <w:r>
        <w:rPr>
          <w:rFonts w:ascii="Times New Roman" w:hAnsi="Times New Roman"/>
          <w:color w:val="0D0D0D" w:themeColor="text1" w:themeTint="F2"/>
          <w:sz w:val="22"/>
          <w:szCs w:val="24"/>
        </w:rPr>
        <w:t xml:space="preserve"> olarak 53 adet tez yazara ait, 17 adet iki yazara ait, 18 adet çok yazara ait kaynaklar kullanılmıştır. </w:t>
      </w:r>
    </w:p>
    <w:p w14:paraId="13121E98"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p>
    <w:p w14:paraId="392C5E5F" w14:textId="5143C050"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r>
        <w:rPr>
          <w:noProof/>
          <w:color w:val="0D0D0D" w:themeColor="text1" w:themeTint="F2"/>
        </w:rPr>
        <w:drawing>
          <wp:inline distT="0" distB="0" distL="0" distR="0" wp14:anchorId="34C49EBD" wp14:editId="0A148BCC">
            <wp:extent cx="3790950" cy="1765300"/>
            <wp:effectExtent l="0" t="0" r="0" b="6350"/>
            <wp:docPr id="18"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2D4258" w14:textId="77777777"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r>
        <w:rPr>
          <w:rFonts w:ascii="Times New Roman" w:hAnsi="Times New Roman"/>
          <w:b/>
          <w:color w:val="0D0D0D" w:themeColor="text1" w:themeTint="F2"/>
          <w:sz w:val="22"/>
          <w:szCs w:val="24"/>
        </w:rPr>
        <w:t xml:space="preserve">Şekil 9. </w:t>
      </w:r>
      <w:r>
        <w:rPr>
          <w:rFonts w:ascii="Times New Roman" w:hAnsi="Times New Roman"/>
          <w:b/>
          <w:bCs/>
          <w:color w:val="0D0D0D" w:themeColor="text1" w:themeTint="F2"/>
          <w:sz w:val="22"/>
          <w:szCs w:val="24"/>
        </w:rPr>
        <w:t xml:space="preserve">Yüksek Lisans Tezlerinin Yazar sayısına Göre </w:t>
      </w:r>
      <w:r>
        <w:rPr>
          <w:rFonts w:ascii="Times New Roman" w:hAnsi="Times New Roman"/>
          <w:b/>
          <w:color w:val="0D0D0D" w:themeColor="text1" w:themeTint="F2"/>
          <w:sz w:val="22"/>
          <w:szCs w:val="24"/>
        </w:rPr>
        <w:t>Analizi</w:t>
      </w:r>
    </w:p>
    <w:p w14:paraId="41571005"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p>
    <w:p w14:paraId="440E78F1"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 xml:space="preserve">Referans verilen yayın türlerine göre analiz yapıldığında, erişime açık olan 35 adet yüksek lisans tezlerinde </w:t>
      </w:r>
      <w:r>
        <w:rPr>
          <w:rFonts w:ascii="Times New Roman" w:hAnsi="Times New Roman"/>
          <w:i/>
          <w:color w:val="0D0D0D" w:themeColor="text1" w:themeTint="F2"/>
          <w:sz w:val="22"/>
          <w:szCs w:val="24"/>
        </w:rPr>
        <w:t>ortalama</w:t>
      </w:r>
      <w:r>
        <w:rPr>
          <w:rFonts w:ascii="Times New Roman" w:hAnsi="Times New Roman"/>
          <w:color w:val="0D0D0D" w:themeColor="text1" w:themeTint="F2"/>
          <w:sz w:val="22"/>
          <w:szCs w:val="24"/>
        </w:rPr>
        <w:t xml:space="preserve"> olarak 32 adet makale, 28 adet kitap, 13 adet tez ve 15 adet diğer (sözlük, ansiklopedi, internet sitesi, gazete, sempozyum, rapor, bildiri vs.) yayınların kaynak olarak kullanıldığı tespit edilmiştir. </w:t>
      </w:r>
    </w:p>
    <w:p w14:paraId="7A428951"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p>
    <w:p w14:paraId="659AEB79" w14:textId="7D7F2CF4"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r>
        <w:rPr>
          <w:noProof/>
          <w:color w:val="0D0D0D" w:themeColor="text1" w:themeTint="F2"/>
        </w:rPr>
        <w:drawing>
          <wp:inline distT="0" distB="0" distL="0" distR="0" wp14:anchorId="760A99C4" wp14:editId="484E4378">
            <wp:extent cx="3759200" cy="1708150"/>
            <wp:effectExtent l="0" t="0" r="0" b="6350"/>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487553" w14:textId="77777777"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r>
        <w:rPr>
          <w:rFonts w:ascii="Times New Roman" w:hAnsi="Times New Roman"/>
          <w:b/>
          <w:color w:val="0D0D0D" w:themeColor="text1" w:themeTint="F2"/>
          <w:sz w:val="22"/>
          <w:szCs w:val="24"/>
        </w:rPr>
        <w:t xml:space="preserve">Şekil 10. </w:t>
      </w:r>
      <w:r>
        <w:rPr>
          <w:rFonts w:ascii="Times New Roman" w:hAnsi="Times New Roman"/>
          <w:b/>
          <w:bCs/>
          <w:color w:val="0D0D0D" w:themeColor="text1" w:themeTint="F2"/>
          <w:sz w:val="22"/>
          <w:szCs w:val="24"/>
        </w:rPr>
        <w:t xml:space="preserve">Yüksek Lisans Tezlerinin Yayın Türlerine Göre </w:t>
      </w:r>
      <w:r>
        <w:rPr>
          <w:rFonts w:ascii="Times New Roman" w:hAnsi="Times New Roman"/>
          <w:b/>
          <w:color w:val="0D0D0D" w:themeColor="text1" w:themeTint="F2"/>
          <w:sz w:val="22"/>
          <w:szCs w:val="24"/>
        </w:rPr>
        <w:t>Analizi</w:t>
      </w:r>
    </w:p>
    <w:p w14:paraId="0DC9A801"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p>
    <w:p w14:paraId="0C3EE059"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 xml:space="preserve">Yayın diline göre analiz yapıldığında ise erişime açık olan 35 adet yüksek lisans tezlerinde </w:t>
      </w:r>
      <w:r>
        <w:rPr>
          <w:rFonts w:ascii="Times New Roman" w:hAnsi="Times New Roman"/>
          <w:i/>
          <w:color w:val="0D0D0D" w:themeColor="text1" w:themeTint="F2"/>
          <w:sz w:val="22"/>
          <w:szCs w:val="24"/>
        </w:rPr>
        <w:t>ortalama</w:t>
      </w:r>
      <w:r>
        <w:rPr>
          <w:rFonts w:ascii="Times New Roman" w:hAnsi="Times New Roman"/>
          <w:color w:val="0D0D0D" w:themeColor="text1" w:themeTint="F2"/>
          <w:sz w:val="22"/>
          <w:szCs w:val="24"/>
        </w:rPr>
        <w:t xml:space="preserve"> olarak 68 adet Türkçe yayın, 20 adet yabancı dillerde yayın kaynakça olarak kullanılmıştır. </w:t>
      </w:r>
    </w:p>
    <w:p w14:paraId="6331605D"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p>
    <w:p w14:paraId="784ACC2A" w14:textId="40FA6D27"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r>
        <w:rPr>
          <w:noProof/>
          <w:color w:val="0D0D0D" w:themeColor="text1" w:themeTint="F2"/>
        </w:rPr>
        <w:lastRenderedPageBreak/>
        <w:drawing>
          <wp:inline distT="0" distB="0" distL="0" distR="0" wp14:anchorId="0FB9DDA1" wp14:editId="5A7E7925">
            <wp:extent cx="3803650" cy="1771650"/>
            <wp:effectExtent l="0" t="0" r="6350" b="0"/>
            <wp:docPr id="20" name="Grafi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87552D" w14:textId="77777777"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r>
        <w:rPr>
          <w:rFonts w:ascii="Times New Roman" w:hAnsi="Times New Roman"/>
          <w:b/>
          <w:color w:val="0D0D0D" w:themeColor="text1" w:themeTint="F2"/>
          <w:sz w:val="22"/>
          <w:szCs w:val="24"/>
        </w:rPr>
        <w:t xml:space="preserve">Şekil 11. </w:t>
      </w:r>
      <w:r>
        <w:rPr>
          <w:rFonts w:ascii="Times New Roman" w:hAnsi="Times New Roman"/>
          <w:b/>
          <w:bCs/>
          <w:color w:val="0D0D0D" w:themeColor="text1" w:themeTint="F2"/>
          <w:sz w:val="22"/>
          <w:szCs w:val="24"/>
        </w:rPr>
        <w:t xml:space="preserve">Yüksek Lisans Tezlerinin Yayın Diline Göre </w:t>
      </w:r>
      <w:r>
        <w:rPr>
          <w:rFonts w:ascii="Times New Roman" w:hAnsi="Times New Roman"/>
          <w:b/>
          <w:color w:val="0D0D0D" w:themeColor="text1" w:themeTint="F2"/>
          <w:sz w:val="22"/>
          <w:szCs w:val="24"/>
        </w:rPr>
        <w:t>Analizi</w:t>
      </w:r>
    </w:p>
    <w:p w14:paraId="2ADB8B2C"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p>
    <w:p w14:paraId="4376D912"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 xml:space="preserve">Yazar sayısına göre analiz edildiğinde, ele alınan 6 adet doktora tezlerinde </w:t>
      </w:r>
      <w:r>
        <w:rPr>
          <w:rFonts w:ascii="Times New Roman" w:hAnsi="Times New Roman"/>
          <w:i/>
          <w:color w:val="0D0D0D" w:themeColor="text1" w:themeTint="F2"/>
          <w:sz w:val="22"/>
          <w:szCs w:val="24"/>
        </w:rPr>
        <w:t xml:space="preserve">ortalama </w:t>
      </w:r>
      <w:r>
        <w:rPr>
          <w:rFonts w:ascii="Times New Roman" w:hAnsi="Times New Roman"/>
          <w:color w:val="0D0D0D" w:themeColor="text1" w:themeTint="F2"/>
          <w:sz w:val="22"/>
          <w:szCs w:val="24"/>
        </w:rPr>
        <w:t xml:space="preserve">olarak 80 adet tez yazara ait, 37 adet iki yazara ait, 42 adet çok yazara ait kaynaklar kullanılmıştır. </w:t>
      </w:r>
    </w:p>
    <w:p w14:paraId="41726952"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p>
    <w:p w14:paraId="5D3F4A33" w14:textId="04180970"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r>
        <w:rPr>
          <w:noProof/>
          <w:color w:val="0D0D0D" w:themeColor="text1" w:themeTint="F2"/>
        </w:rPr>
        <w:drawing>
          <wp:inline distT="0" distB="0" distL="0" distR="0" wp14:anchorId="687832D7" wp14:editId="57697771">
            <wp:extent cx="3695700" cy="1708150"/>
            <wp:effectExtent l="0" t="0" r="0" b="6350"/>
            <wp:docPr id="21" name="Grafik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0E7771" w14:textId="77777777"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r>
        <w:rPr>
          <w:rFonts w:ascii="Times New Roman" w:hAnsi="Times New Roman"/>
          <w:b/>
          <w:color w:val="0D0D0D" w:themeColor="text1" w:themeTint="F2"/>
          <w:sz w:val="22"/>
          <w:szCs w:val="24"/>
        </w:rPr>
        <w:t xml:space="preserve">Şekil 12. </w:t>
      </w:r>
      <w:r>
        <w:rPr>
          <w:rFonts w:ascii="Times New Roman" w:hAnsi="Times New Roman"/>
          <w:b/>
          <w:bCs/>
          <w:color w:val="0D0D0D" w:themeColor="text1" w:themeTint="F2"/>
          <w:sz w:val="22"/>
          <w:szCs w:val="24"/>
        </w:rPr>
        <w:t xml:space="preserve">Doktora Tezlerinin Yazar sayısına Göre </w:t>
      </w:r>
      <w:r>
        <w:rPr>
          <w:rFonts w:ascii="Times New Roman" w:hAnsi="Times New Roman"/>
          <w:b/>
          <w:color w:val="0D0D0D" w:themeColor="text1" w:themeTint="F2"/>
          <w:sz w:val="22"/>
          <w:szCs w:val="24"/>
        </w:rPr>
        <w:t>Analizi</w:t>
      </w:r>
    </w:p>
    <w:p w14:paraId="26091FFD"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p>
    <w:p w14:paraId="471D0301"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 xml:space="preserve">Referans verilen yayın türlerine göre analiz yapıldığında, ele alınan 6 adet doktora tezlerinde </w:t>
      </w:r>
      <w:r>
        <w:rPr>
          <w:rFonts w:ascii="Times New Roman" w:hAnsi="Times New Roman"/>
          <w:i/>
          <w:color w:val="0D0D0D" w:themeColor="text1" w:themeTint="F2"/>
          <w:sz w:val="22"/>
          <w:szCs w:val="24"/>
        </w:rPr>
        <w:t>ortalama</w:t>
      </w:r>
      <w:r>
        <w:rPr>
          <w:rFonts w:ascii="Times New Roman" w:hAnsi="Times New Roman"/>
          <w:color w:val="0D0D0D" w:themeColor="text1" w:themeTint="F2"/>
          <w:sz w:val="22"/>
          <w:szCs w:val="24"/>
        </w:rPr>
        <w:t xml:space="preserve"> olarak 79 adet makale, 38 adet kitap, 18 adet tez ve 23 adet diğer (sözlük, ansiklopedi, internet sitesi, gazete, sempozyum, rapor, bildiri vs.) yayınların kaynak olarak kullanıldığı tespit edilmiştir. </w:t>
      </w:r>
    </w:p>
    <w:p w14:paraId="3F090BE3"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p>
    <w:p w14:paraId="5919EB17" w14:textId="3B2E17F0"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r>
        <w:rPr>
          <w:noProof/>
          <w:color w:val="0D0D0D" w:themeColor="text1" w:themeTint="F2"/>
        </w:rPr>
        <w:drawing>
          <wp:inline distT="0" distB="0" distL="0" distR="0" wp14:anchorId="66435BA3" wp14:editId="527A5C27">
            <wp:extent cx="3657600" cy="1733550"/>
            <wp:effectExtent l="0" t="0" r="0" b="0"/>
            <wp:docPr id="22" name="Grafik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5CB336" w14:textId="77777777" w:rsidR="00F25C60" w:rsidRDefault="00F25C60" w:rsidP="00F25C60">
      <w:pPr>
        <w:pStyle w:val="ListeParagraf"/>
        <w:tabs>
          <w:tab w:val="left" w:pos="284"/>
        </w:tabs>
        <w:ind w:left="0"/>
        <w:jc w:val="center"/>
        <w:rPr>
          <w:rFonts w:ascii="Times New Roman" w:hAnsi="Times New Roman"/>
          <w:b/>
          <w:color w:val="0D0D0D" w:themeColor="text1" w:themeTint="F2"/>
          <w:sz w:val="22"/>
          <w:szCs w:val="24"/>
        </w:rPr>
      </w:pPr>
      <w:r>
        <w:rPr>
          <w:rFonts w:ascii="Times New Roman" w:hAnsi="Times New Roman"/>
          <w:b/>
          <w:color w:val="0D0D0D" w:themeColor="text1" w:themeTint="F2"/>
          <w:sz w:val="22"/>
          <w:szCs w:val="24"/>
        </w:rPr>
        <w:t xml:space="preserve">Şekil 13. </w:t>
      </w:r>
      <w:r>
        <w:rPr>
          <w:rFonts w:ascii="Times New Roman" w:hAnsi="Times New Roman"/>
          <w:b/>
          <w:bCs/>
          <w:color w:val="0D0D0D" w:themeColor="text1" w:themeTint="F2"/>
          <w:sz w:val="22"/>
          <w:szCs w:val="24"/>
        </w:rPr>
        <w:t xml:space="preserve">Doktora Tezlerinin Yayın Türlerine Göre </w:t>
      </w:r>
      <w:r>
        <w:rPr>
          <w:rFonts w:ascii="Times New Roman" w:hAnsi="Times New Roman"/>
          <w:b/>
          <w:color w:val="0D0D0D" w:themeColor="text1" w:themeTint="F2"/>
          <w:sz w:val="22"/>
          <w:szCs w:val="24"/>
        </w:rPr>
        <w:t>Analizi</w:t>
      </w:r>
    </w:p>
    <w:p w14:paraId="495400FF" w14:textId="77777777"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p>
    <w:p w14:paraId="36B7236F"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lastRenderedPageBreak/>
        <w:t xml:space="preserve">Yayın diline göre analiz yapıldığında ise ele alınan 6 adet doktora tezlerinde </w:t>
      </w:r>
      <w:r>
        <w:rPr>
          <w:rFonts w:ascii="Times New Roman" w:hAnsi="Times New Roman"/>
          <w:i/>
          <w:color w:val="0D0D0D" w:themeColor="text1" w:themeTint="F2"/>
          <w:sz w:val="22"/>
          <w:szCs w:val="24"/>
        </w:rPr>
        <w:t>ortalama</w:t>
      </w:r>
      <w:r>
        <w:rPr>
          <w:rFonts w:ascii="Times New Roman" w:hAnsi="Times New Roman"/>
          <w:color w:val="0D0D0D" w:themeColor="text1" w:themeTint="F2"/>
          <w:sz w:val="22"/>
          <w:szCs w:val="24"/>
        </w:rPr>
        <w:t xml:space="preserve"> olarak 71 adet Türkçe yayın, 87 adet yabancı dillerde yayın kaynakça olarak kullanılmıştır. </w:t>
      </w:r>
    </w:p>
    <w:p w14:paraId="2AD72946"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p>
    <w:p w14:paraId="1B573501" w14:textId="3DC94559"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r>
        <w:rPr>
          <w:noProof/>
          <w:color w:val="0D0D0D" w:themeColor="text1" w:themeTint="F2"/>
        </w:rPr>
        <w:drawing>
          <wp:inline distT="0" distB="0" distL="0" distR="0" wp14:anchorId="411F6DE2" wp14:editId="4AEE94A4">
            <wp:extent cx="3581400" cy="1581150"/>
            <wp:effectExtent l="0" t="0" r="0" b="0"/>
            <wp:docPr id="23" name="Grafik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992148" w14:textId="77777777" w:rsidR="00F25C60" w:rsidRDefault="00F25C60" w:rsidP="00F25C60">
      <w:pPr>
        <w:pStyle w:val="ListeParagraf"/>
        <w:tabs>
          <w:tab w:val="left" w:pos="284"/>
        </w:tabs>
        <w:ind w:left="0"/>
        <w:jc w:val="center"/>
        <w:rPr>
          <w:rFonts w:ascii="Times New Roman" w:hAnsi="Times New Roman"/>
          <w:color w:val="0D0D0D" w:themeColor="text1" w:themeTint="F2"/>
          <w:sz w:val="22"/>
          <w:szCs w:val="24"/>
        </w:rPr>
      </w:pPr>
      <w:r>
        <w:rPr>
          <w:rFonts w:ascii="Times New Roman" w:hAnsi="Times New Roman"/>
          <w:b/>
          <w:color w:val="0D0D0D" w:themeColor="text1" w:themeTint="F2"/>
          <w:sz w:val="22"/>
          <w:szCs w:val="24"/>
        </w:rPr>
        <w:t xml:space="preserve">Şekil 14. </w:t>
      </w:r>
      <w:r>
        <w:rPr>
          <w:rFonts w:ascii="Times New Roman" w:hAnsi="Times New Roman"/>
          <w:b/>
          <w:bCs/>
          <w:color w:val="0D0D0D" w:themeColor="text1" w:themeTint="F2"/>
          <w:sz w:val="22"/>
          <w:szCs w:val="24"/>
        </w:rPr>
        <w:t xml:space="preserve">Doktora Tezlerinin Yayın Diline Göre </w:t>
      </w:r>
      <w:r>
        <w:rPr>
          <w:rFonts w:ascii="Times New Roman" w:hAnsi="Times New Roman"/>
          <w:b/>
          <w:color w:val="0D0D0D" w:themeColor="text1" w:themeTint="F2"/>
          <w:sz w:val="22"/>
          <w:szCs w:val="24"/>
        </w:rPr>
        <w:t>Analizi</w:t>
      </w:r>
    </w:p>
    <w:p w14:paraId="3C9EB0A8" w14:textId="77777777" w:rsidR="00F25C60" w:rsidRDefault="00F25C60" w:rsidP="00F25C60">
      <w:pPr>
        <w:pStyle w:val="ListeParagraf"/>
        <w:numPr>
          <w:ilvl w:val="0"/>
          <w:numId w:val="1"/>
        </w:numPr>
        <w:tabs>
          <w:tab w:val="left" w:pos="284"/>
        </w:tabs>
        <w:spacing w:after="160"/>
        <w:ind w:left="0" w:firstLine="0"/>
        <w:rPr>
          <w:rFonts w:ascii="Times New Roman" w:hAnsi="Times New Roman"/>
          <w:b/>
          <w:color w:val="0D0D0D" w:themeColor="text1" w:themeTint="F2"/>
          <w:sz w:val="22"/>
          <w:szCs w:val="24"/>
        </w:rPr>
      </w:pPr>
      <w:r>
        <w:rPr>
          <w:rFonts w:ascii="Times New Roman" w:hAnsi="Times New Roman"/>
          <w:b/>
          <w:color w:val="0D0D0D" w:themeColor="text1" w:themeTint="F2"/>
          <w:sz w:val="22"/>
          <w:szCs w:val="24"/>
        </w:rPr>
        <w:t>SONUÇ</w:t>
      </w:r>
    </w:p>
    <w:p w14:paraId="2EEBED48" w14:textId="77777777" w:rsidR="00F25C60" w:rsidRDefault="00F25C60" w:rsidP="00F25C60">
      <w:pPr>
        <w:tabs>
          <w:tab w:val="left" w:pos="284"/>
        </w:tabs>
        <w:rPr>
          <w:rFonts w:cs="Times New Roman"/>
          <w:b/>
          <w:color w:val="0D0D0D" w:themeColor="text1" w:themeTint="F2"/>
          <w:sz w:val="22"/>
          <w:szCs w:val="24"/>
        </w:rPr>
      </w:pPr>
      <w:r>
        <w:rPr>
          <w:rFonts w:cs="Times New Roman"/>
          <w:color w:val="0D0D0D" w:themeColor="text1" w:themeTint="F2"/>
          <w:sz w:val="22"/>
          <w:szCs w:val="24"/>
        </w:rPr>
        <w:t>Bu çalışmada, Türkiye Yüksek Öğretim Kurumu (YÖK) Ulusal Tez Merkezi veri tabanında eğitim alanında ve çevre bilinci konusunda yayımlanmış olan lisansüstü düzeydeki çalışmalar; lisansüstü tezlerin türü, tam metin erişilebilirliği, yazarların cinsiyet dağılımı, tezlerin yapıldığı üniversiteler ve anabilim dalları, tezlerin yılları, sayfa dağılımları, ortalama atıf sayıları ve kaynakça analizi bağlamında ele alınmıştır.</w:t>
      </w:r>
    </w:p>
    <w:p w14:paraId="2BFAAB3D"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Çalışma konumuz dâhilinde</w:t>
      </w:r>
      <w:r>
        <w:rPr>
          <w:rStyle w:val="fontstyle01"/>
          <w:color w:val="0D0D0D" w:themeColor="text1" w:themeTint="F2"/>
          <w:sz w:val="28"/>
          <w:szCs w:val="24"/>
        </w:rPr>
        <w:t>;</w:t>
      </w:r>
      <w:r>
        <w:rPr>
          <w:rFonts w:ascii="Times New Roman" w:hAnsi="Times New Roman"/>
          <w:color w:val="0D0D0D" w:themeColor="text1" w:themeTint="F2"/>
          <w:sz w:val="22"/>
          <w:szCs w:val="24"/>
        </w:rPr>
        <w:t xml:space="preserve"> 40 adet yüksek lisans tezi, 6 adet doktora tezi olduğu, lisansüstü tezlerin 41 tanesinin tam metni erişime açıkken, 5 tanesinin erişime kapalı olduğu tespit edilmiştir. Tezlerin 31 tanesi kadın, 15 tanesi erkek öğrenciler tarafından yapılmış olup, konu alanı ile ilgili en çok tezin Gazi Üniversitesinde gerçekleştirildiği görülmüştür.  </w:t>
      </w:r>
    </w:p>
    <w:p w14:paraId="4A8812F5" w14:textId="77777777" w:rsidR="00F25C60" w:rsidRDefault="00F25C60" w:rsidP="00F25C60">
      <w:pPr>
        <w:pStyle w:val="ListeParagraf"/>
        <w:tabs>
          <w:tab w:val="left" w:pos="284"/>
        </w:tabs>
        <w:ind w:left="0"/>
        <w:rPr>
          <w:rFonts w:ascii="Times New Roman" w:hAnsi="Times New Roman"/>
          <w:color w:val="0D0D0D" w:themeColor="text1" w:themeTint="F2"/>
          <w:sz w:val="22"/>
          <w:szCs w:val="24"/>
        </w:rPr>
      </w:pPr>
      <w:r>
        <w:rPr>
          <w:rFonts w:ascii="Times New Roman" w:hAnsi="Times New Roman"/>
          <w:color w:val="0D0D0D" w:themeColor="text1" w:themeTint="F2"/>
          <w:sz w:val="22"/>
          <w:szCs w:val="24"/>
        </w:rPr>
        <w:t xml:space="preserve">Tezlerin büyük bir çoğunluğunun İlköğretim Anabilim Dalı kapsamında yazıldığı ve yıllara göre dağılımın düzensiz olduğu gözlenmiştir. Doktora tezlerinin ortalama atıf sayılarının ve ortalama sayfa dağılımlarının yüksek lisans tezlerinin ortalama atıf sayıları ve ortalama sayfa dağılımlarından daha yüksek olduğu, doktora tezlerinde yabancı dil kaynakların, yüksek lisans tezlerinde ise Türkçe kaynakların daha çok kullanıldığı, tezlerde en çok makalelerden yararlanıldığı ve kaynakların büyük çoğunluğunun tek yazarlı çalışmalardan oluştuğu, elde edilen bilgiler arasındadır.  </w:t>
      </w:r>
    </w:p>
    <w:p w14:paraId="614C2C00" w14:textId="77777777" w:rsidR="00F25C60" w:rsidRDefault="00F25C60" w:rsidP="00F25C60">
      <w:pPr>
        <w:tabs>
          <w:tab w:val="left" w:pos="284"/>
        </w:tabs>
        <w:rPr>
          <w:rFonts w:cs="Times New Roman"/>
          <w:b/>
          <w:color w:val="0D0D0D" w:themeColor="text1" w:themeTint="F2"/>
          <w:sz w:val="22"/>
          <w:szCs w:val="24"/>
        </w:rPr>
      </w:pPr>
      <w:r>
        <w:rPr>
          <w:rFonts w:cs="Times New Roman"/>
          <w:color w:val="0D0D0D" w:themeColor="text1" w:themeTint="F2"/>
          <w:sz w:val="22"/>
          <w:szCs w:val="24"/>
        </w:rPr>
        <w:t xml:space="preserve">Tüm bu bulgulardan hareketle, bütün öğretim kademelerinde olduğu gibi, yükseköğretimde de çevre bilincine öncelik verilerek,  bu konuda yazılan lisansüstü tezlere daha çok ağırlık verilmesi kanaatindeyiz. </w:t>
      </w:r>
    </w:p>
    <w:p w14:paraId="4240E486" w14:textId="77777777" w:rsidR="00F25C60" w:rsidRDefault="00F25C60" w:rsidP="00F25C60">
      <w:pPr>
        <w:pStyle w:val="ListeParagraf"/>
        <w:numPr>
          <w:ilvl w:val="0"/>
          <w:numId w:val="1"/>
        </w:numPr>
        <w:tabs>
          <w:tab w:val="left" w:pos="284"/>
        </w:tabs>
        <w:spacing w:after="160"/>
        <w:ind w:left="0" w:firstLine="0"/>
        <w:rPr>
          <w:rFonts w:ascii="Times New Roman" w:hAnsi="Times New Roman"/>
          <w:b/>
          <w:color w:val="0D0D0D" w:themeColor="text1" w:themeTint="F2"/>
          <w:sz w:val="22"/>
          <w:szCs w:val="24"/>
        </w:rPr>
      </w:pPr>
      <w:r>
        <w:rPr>
          <w:rFonts w:ascii="Times New Roman" w:hAnsi="Times New Roman"/>
          <w:b/>
          <w:color w:val="0D0D0D" w:themeColor="text1" w:themeTint="F2"/>
          <w:sz w:val="22"/>
          <w:szCs w:val="24"/>
        </w:rPr>
        <w:t>KAYNAKÇA</w:t>
      </w:r>
    </w:p>
    <w:p w14:paraId="4E8BD16E" w14:textId="77777777" w:rsidR="00F25C60" w:rsidRDefault="00F25C60" w:rsidP="00F25C60">
      <w:pPr>
        <w:pStyle w:val="Kaynaklar"/>
        <w:rPr>
          <w:sz w:val="18"/>
        </w:rPr>
      </w:pPr>
      <w:r>
        <w:rPr>
          <w:sz w:val="18"/>
        </w:rPr>
        <w:t xml:space="preserve"> [1] Şimşekli, Y. (2004). Çevre Bilincinin Geliştirilmesine Yönelik Çevre Eğitimi Etkinliklerine İlköğretim Okullarının Duyarlılığı. Eğitim Fakültesi Dergisi XVII (1), 83-92.</w:t>
      </w:r>
    </w:p>
    <w:p w14:paraId="64EE4040" w14:textId="77777777" w:rsidR="00F25C60" w:rsidRDefault="00F25C60" w:rsidP="00F25C60">
      <w:pPr>
        <w:pStyle w:val="Kaynaklar"/>
        <w:rPr>
          <w:sz w:val="18"/>
        </w:rPr>
      </w:pPr>
      <w:r>
        <w:rPr>
          <w:sz w:val="18"/>
        </w:rPr>
        <w:t xml:space="preserve">[2] Gülay, H., Ekici, G. (2010). MEB Okul Öncesi Eğitim Programının Çevre Eğitimi Açısından Analizi, Journal of Turkish Science Education,  7(1), 74-84. </w:t>
      </w:r>
    </w:p>
    <w:p w14:paraId="2323C88B" w14:textId="77777777" w:rsidR="00F25C60" w:rsidRDefault="00F25C60" w:rsidP="00F25C60">
      <w:pPr>
        <w:pStyle w:val="Kaynaklar"/>
        <w:rPr>
          <w:sz w:val="18"/>
        </w:rPr>
      </w:pPr>
      <w:r>
        <w:rPr>
          <w:sz w:val="18"/>
        </w:rPr>
        <w:lastRenderedPageBreak/>
        <w:t xml:space="preserve">[3] Oğuz, D., Çakcı, I., Kavas, S. (2011).  Yükseköğretimde öğrencilerin çevre bilinci, SDU Faculty of Forestry Journal, 12: 34-39. </w:t>
      </w:r>
    </w:p>
    <w:p w14:paraId="2ED1488D" w14:textId="77777777" w:rsidR="00F25C60" w:rsidRDefault="00F25C60" w:rsidP="00F25C60">
      <w:pPr>
        <w:pStyle w:val="Kaynaklar"/>
        <w:rPr>
          <w:sz w:val="18"/>
        </w:rPr>
      </w:pPr>
      <w:r>
        <w:rPr>
          <w:sz w:val="18"/>
        </w:rPr>
        <w:t xml:space="preserve">[4] Keleş, Ö., Uzun, N., Varnacı Uzun, F. (2010). Öğretmen Adaylarının Çevre Bilinci, Çevresel Tutum, Düşünce Ve Davranışlarının Doğa Eğitimi Projesine Bağlı Değişimi Ve Kalıcılığının Değerlendirilmesi, Electronic Journal of Social Sciences, 9(32), 384-401. </w:t>
      </w:r>
    </w:p>
    <w:p w14:paraId="2DD90AB6" w14:textId="77777777" w:rsidR="00F25C60" w:rsidRDefault="00F25C60" w:rsidP="00F25C60">
      <w:pPr>
        <w:pStyle w:val="Kaynaklar"/>
        <w:rPr>
          <w:sz w:val="18"/>
        </w:rPr>
      </w:pPr>
      <w:r>
        <w:rPr>
          <w:sz w:val="18"/>
        </w:rPr>
        <w:t xml:space="preserve">[5] Alım, M. (2006). Avrupa Birliği Üyelik Sürecinde Türkiye’de Çevre Ve İlköğretimde Çevre Eğitimi, Kastamonu Eğitim Dergisi, 14(2), 599-616. </w:t>
      </w:r>
    </w:p>
    <w:p w14:paraId="7A7CB883" w14:textId="77777777" w:rsidR="00F25C60" w:rsidRDefault="00F25C60" w:rsidP="00F25C60">
      <w:pPr>
        <w:pStyle w:val="Kaynaklar"/>
        <w:rPr>
          <w:sz w:val="18"/>
        </w:rPr>
      </w:pPr>
      <w:r>
        <w:rPr>
          <w:sz w:val="18"/>
        </w:rPr>
        <w:t xml:space="preserve">[6] Şahin, N., Cerrah, L., Saka, A., Şahin, B. (2004). Yüksek Öğretimde Öğrenci Merkezli Çevre Eğitimi Dersine Yönelik Bir Uygulama, Gazi Eğitim Fakültesi Dergisi, 24(3), 113-128. </w:t>
      </w:r>
    </w:p>
    <w:p w14:paraId="1DBF75F9" w14:textId="77777777" w:rsidR="00F25C60" w:rsidRDefault="00F25C60" w:rsidP="00F25C60">
      <w:pPr>
        <w:pStyle w:val="Kaynaklar"/>
        <w:rPr>
          <w:sz w:val="18"/>
        </w:rPr>
      </w:pPr>
      <w:r>
        <w:rPr>
          <w:sz w:val="18"/>
        </w:rPr>
        <w:t xml:space="preserve">[7] Çabuk, B., Karacaoğlu, C. (2003). Üniversite Öğrencilerinin Çevre Duyarlılıklarının İncelenmesi, Ankara Üniversitesi Eğitim Bilimleri Fakültesi Dergisi, 36, 190-198. </w:t>
      </w:r>
    </w:p>
    <w:p w14:paraId="551D9903" w14:textId="77777777" w:rsidR="00F25C60" w:rsidRDefault="00F25C60" w:rsidP="00F25C60">
      <w:pPr>
        <w:pStyle w:val="Kaynaklar"/>
        <w:rPr>
          <w:sz w:val="18"/>
        </w:rPr>
      </w:pPr>
      <w:r>
        <w:rPr>
          <w:sz w:val="18"/>
        </w:rPr>
        <w:t xml:space="preserve">[8] Şama, E. (2003). Öğretmen Adaylarının Çevre Sorunlarına Yönelik Tutumları, Gazi Eğitim Fakültesi Dergisi, 23(2), 99-110. </w:t>
      </w:r>
    </w:p>
    <w:p w14:paraId="6B83F3D6" w14:textId="77777777" w:rsidR="00F25C60" w:rsidRDefault="00F25C60" w:rsidP="00F25C60">
      <w:pPr>
        <w:pStyle w:val="Kaynaklar"/>
        <w:rPr>
          <w:sz w:val="18"/>
        </w:rPr>
      </w:pPr>
      <w:r>
        <w:rPr>
          <w:sz w:val="18"/>
        </w:rPr>
        <w:t xml:space="preserve">[9] Yücel, S., Morgil, İ. (1998). Yüksek Öğretimde Çevre Olgusunun Araştırılması, Hacettepe Üniversitesi Eğitim Fakültesi Dergisi, 14, 84-91. </w:t>
      </w:r>
    </w:p>
    <w:p w14:paraId="402E3A39" w14:textId="77777777" w:rsidR="00F25C60" w:rsidRDefault="00F25C60" w:rsidP="00F25C60">
      <w:pPr>
        <w:pStyle w:val="Kaynaklar"/>
        <w:rPr>
          <w:sz w:val="18"/>
        </w:rPr>
      </w:pPr>
      <w:r>
        <w:rPr>
          <w:sz w:val="18"/>
        </w:rPr>
        <w:t>[10] Kahyaoğlu, M., Daban, Ş., Yangın, S. (2008). İlköğretim Öğretmen Adaylarının Çevreye Yönelik Tutumları, D.Ü.Ziya Gökalp Eğitim Fakültesi Dergisi, 11, 42-52.</w:t>
      </w:r>
    </w:p>
    <w:p w14:paraId="487C82AF" w14:textId="77777777" w:rsidR="00F25C60" w:rsidRDefault="00F25C60" w:rsidP="00F25C60">
      <w:pPr>
        <w:spacing w:after="200" w:line="276" w:lineRule="auto"/>
        <w:jc w:val="left"/>
        <w:rPr>
          <w:rFonts w:cs="Times New Roman"/>
          <w:color w:val="0D0D0D" w:themeColor="text1" w:themeTint="F2"/>
          <w:sz w:val="22"/>
          <w:szCs w:val="24"/>
        </w:rPr>
      </w:pPr>
      <w:r>
        <w:rPr>
          <w:rFonts w:cs="Times New Roman"/>
          <w:color w:val="0D0D0D" w:themeColor="text1" w:themeTint="F2"/>
          <w:sz w:val="22"/>
          <w:szCs w:val="24"/>
        </w:rPr>
        <w:br w:type="page"/>
      </w:r>
    </w:p>
    <w:p w14:paraId="71264206" w14:textId="77777777" w:rsidR="00E41F02" w:rsidRDefault="00E41F02"/>
    <w:sectPr w:rsidR="00E41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Oblique">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27082"/>
    <w:multiLevelType w:val="hybridMultilevel"/>
    <w:tmpl w:val="AC3CF30A"/>
    <w:lvl w:ilvl="0" w:tplc="12246866">
      <w:start w:val="1"/>
      <w:numFmt w:val="decimal"/>
      <w:lvlText w:val="%1."/>
      <w:lvlJc w:val="left"/>
      <w:pPr>
        <w:ind w:left="720" w:hanging="360"/>
      </w:pPr>
      <w:rPr>
        <w:rFonts w:ascii="Times New Roman" w:hAnsi="Times New Roman" w:cs="Times New Roman" w:hint="default"/>
        <w:b/>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E1"/>
    <w:rsid w:val="000D3D5D"/>
    <w:rsid w:val="00496DB1"/>
    <w:rsid w:val="005522E8"/>
    <w:rsid w:val="005721E7"/>
    <w:rsid w:val="008D576C"/>
    <w:rsid w:val="00963C25"/>
    <w:rsid w:val="00AE47F4"/>
    <w:rsid w:val="00BE4EE1"/>
    <w:rsid w:val="00E41F02"/>
    <w:rsid w:val="00F25C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5848"/>
  <w15:chartTrackingRefBased/>
  <w15:docId w15:val="{87E7C7EF-1D02-497D-94A8-076F6D72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C60"/>
    <w:pPr>
      <w:spacing w:after="120" w:line="360" w:lineRule="auto"/>
      <w:jc w:val="both"/>
    </w:pPr>
    <w:rPr>
      <w:rFonts w:ascii="Times New Roman" w:hAnsi="Times New Roman"/>
      <w:sz w:val="24"/>
    </w:rPr>
  </w:style>
  <w:style w:type="paragraph" w:styleId="Balk1">
    <w:name w:val="heading 1"/>
    <w:next w:val="Normal"/>
    <w:link w:val="Balk1Char"/>
    <w:autoRedefine/>
    <w:qFormat/>
    <w:rsid w:val="00F25C60"/>
    <w:pPr>
      <w:keepNext/>
      <w:shd w:val="clear" w:color="auto" w:fill="FFFFFF"/>
      <w:spacing w:after="0" w:line="360" w:lineRule="auto"/>
      <w:jc w:val="center"/>
      <w:outlineLvl w:val="0"/>
    </w:pPr>
    <w:rPr>
      <w:rFonts w:ascii="Times New Roman" w:eastAsia="Calibri" w:hAnsi="Times New Roman" w:cs="Times New Roman"/>
      <w:b/>
      <w:bCs/>
      <w:noProof/>
      <w:color w:val="000000" w:themeColor="text1"/>
      <w:sz w:val="24"/>
      <w:szCs w:val="24"/>
      <w:u w:color="000000"/>
      <w:lang w:val="en"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25C60"/>
    <w:rPr>
      <w:rFonts w:ascii="Times New Roman" w:eastAsia="Calibri" w:hAnsi="Times New Roman" w:cs="Times New Roman"/>
      <w:b/>
      <w:bCs/>
      <w:noProof/>
      <w:color w:val="000000" w:themeColor="text1"/>
      <w:sz w:val="24"/>
      <w:szCs w:val="24"/>
      <w:u w:color="000000"/>
      <w:shd w:val="clear" w:color="auto" w:fill="FFFFFF"/>
      <w:lang w:val="en" w:eastAsia="de-DE"/>
    </w:rPr>
  </w:style>
  <w:style w:type="character" w:styleId="Kpr">
    <w:name w:val="Hyperlink"/>
    <w:uiPriority w:val="99"/>
    <w:semiHidden/>
    <w:unhideWhenUsed/>
    <w:rsid w:val="00F25C60"/>
    <w:rPr>
      <w:color w:val="0000FF"/>
      <w:u w:val="single"/>
    </w:rPr>
  </w:style>
  <w:style w:type="character" w:customStyle="1" w:styleId="ListeParagrafChar">
    <w:name w:val="Liste Paragraf Char"/>
    <w:aliases w:val="şekildipnot Char"/>
    <w:basedOn w:val="VarsaylanParagrafYazTipi"/>
    <w:link w:val="ListeParagraf"/>
    <w:uiPriority w:val="34"/>
    <w:locked/>
    <w:rsid w:val="00F25C60"/>
    <w:rPr>
      <w:rFonts w:ascii="Calibri" w:eastAsia="Calibri" w:hAnsi="Calibri" w:cs="Times New Roman"/>
      <w:sz w:val="24"/>
    </w:rPr>
  </w:style>
  <w:style w:type="paragraph" w:styleId="ListeParagraf">
    <w:name w:val="List Paragraph"/>
    <w:aliases w:val="şekildipnot"/>
    <w:basedOn w:val="Normal"/>
    <w:link w:val="ListeParagrafChar"/>
    <w:uiPriority w:val="34"/>
    <w:qFormat/>
    <w:rsid w:val="00F25C60"/>
    <w:pPr>
      <w:ind w:left="720"/>
      <w:contextualSpacing/>
    </w:pPr>
    <w:rPr>
      <w:rFonts w:ascii="Calibri" w:eastAsia="Calibri" w:hAnsi="Calibri" w:cs="Times New Roman"/>
    </w:rPr>
  </w:style>
  <w:style w:type="paragraph" w:customStyle="1" w:styleId="Kaynaklar">
    <w:name w:val="Kaynaklar"/>
    <w:basedOn w:val="Normal"/>
    <w:qFormat/>
    <w:rsid w:val="00F25C60"/>
    <w:pPr>
      <w:spacing w:after="0"/>
    </w:pPr>
    <w:rPr>
      <w:rFonts w:cs="Times New Roman"/>
      <w:sz w:val="20"/>
      <w:szCs w:val="24"/>
      <w:lang w:val="en-US"/>
    </w:rPr>
  </w:style>
  <w:style w:type="character" w:customStyle="1" w:styleId="fontstyle01">
    <w:name w:val="fontstyle01"/>
    <w:basedOn w:val="VarsaylanParagrafYazTipi"/>
    <w:rsid w:val="00F25C60"/>
    <w:rPr>
      <w:rFonts w:ascii="Times New Roman" w:hAnsi="Times New Roman" w:cs="Times New Roman" w:hint="default"/>
      <w:b/>
      <w:bCs/>
      <w:i w:val="0"/>
      <w:iCs w:val="0"/>
      <w:color w:val="000000"/>
      <w:sz w:val="30"/>
      <w:szCs w:val="30"/>
    </w:rPr>
  </w:style>
  <w:style w:type="character" w:customStyle="1" w:styleId="fontstyle21">
    <w:name w:val="fontstyle21"/>
    <w:basedOn w:val="VarsaylanParagrafYazTipi"/>
    <w:rsid w:val="00F25C60"/>
    <w:rPr>
      <w:rFonts w:ascii="Univers-Oblique" w:hAnsi="Univers-Oblique" w:hint="default"/>
      <w:b w:val="0"/>
      <w:bCs w:val="0"/>
      <w:i/>
      <w:iCs/>
      <w:color w:val="231F2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0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_al__ma_Sayfas_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_al__ma_Sayfas_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_al__ma_Sayfas_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_al__ma_Sayfas_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_al__ma_Sayfas_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al__ma_Sayfas_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_al__ma_Sayfas_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Sayfa1!$B$1</c:f>
              <c:strCache>
                <c:ptCount val="1"/>
                <c:pt idx="0">
                  <c:v>Tez Türleri</c:v>
                </c:pt>
              </c:strCache>
            </c:strRef>
          </c:tx>
          <c:invertIfNegative val="0"/>
          <c:dPt>
            <c:idx val="1"/>
            <c:invertIfNegative val="0"/>
            <c:bubble3D val="0"/>
            <c:extLst>
              <c:ext xmlns:c16="http://schemas.microsoft.com/office/drawing/2014/chart" uri="{C3380CC4-5D6E-409C-BE32-E72D297353CC}">
                <c16:uniqueId val="{00000000-E0DE-4285-9E30-F75FBBD41042}"/>
              </c:ext>
            </c:extLst>
          </c:dPt>
          <c:cat>
            <c:strRef>
              <c:f>Sayfa1!$A$2:$A$3</c:f>
              <c:strCache>
                <c:ptCount val="2"/>
                <c:pt idx="0">
                  <c:v>Yüksek Lisans</c:v>
                </c:pt>
                <c:pt idx="1">
                  <c:v>Doktora</c:v>
                </c:pt>
              </c:strCache>
            </c:strRef>
          </c:cat>
          <c:val>
            <c:numRef>
              <c:f>Sayfa1!$B$2:$B$3</c:f>
              <c:numCache>
                <c:formatCode>General</c:formatCode>
                <c:ptCount val="2"/>
                <c:pt idx="0">
                  <c:v>40</c:v>
                </c:pt>
                <c:pt idx="1">
                  <c:v>6</c:v>
                </c:pt>
              </c:numCache>
            </c:numRef>
          </c:val>
          <c:extLst>
            <c:ext xmlns:c16="http://schemas.microsoft.com/office/drawing/2014/chart" uri="{C3380CC4-5D6E-409C-BE32-E72D297353CC}">
              <c16:uniqueId val="{00000001-E0DE-4285-9E30-F75FBBD41042}"/>
            </c:ext>
          </c:extLst>
        </c:ser>
        <c:dLbls>
          <c:showLegendKey val="0"/>
          <c:showVal val="0"/>
          <c:showCatName val="0"/>
          <c:showSerName val="0"/>
          <c:showPercent val="0"/>
          <c:showBubbleSize val="0"/>
        </c:dLbls>
        <c:gapWidth val="150"/>
        <c:axId val="961950720"/>
        <c:axId val="316015168"/>
      </c:barChart>
      <c:catAx>
        <c:axId val="961950720"/>
        <c:scaling>
          <c:orientation val="minMax"/>
        </c:scaling>
        <c:delete val="0"/>
        <c:axPos val="b"/>
        <c:numFmt formatCode="General" sourceLinked="0"/>
        <c:majorTickMark val="out"/>
        <c:minorTickMark val="none"/>
        <c:tickLblPos val="nextTo"/>
        <c:crossAx val="316015168"/>
        <c:crosses val="autoZero"/>
        <c:auto val="1"/>
        <c:lblAlgn val="ctr"/>
        <c:lblOffset val="100"/>
        <c:noMultiLvlLbl val="0"/>
      </c:catAx>
      <c:valAx>
        <c:axId val="316015168"/>
        <c:scaling>
          <c:orientation val="minMax"/>
        </c:scaling>
        <c:delete val="0"/>
        <c:axPos val="l"/>
        <c:majorGridlines>
          <c:spPr>
            <a:ln>
              <a:noFill/>
            </a:ln>
          </c:spPr>
        </c:majorGridlines>
        <c:numFmt formatCode="General" sourceLinked="1"/>
        <c:majorTickMark val="out"/>
        <c:minorTickMark val="none"/>
        <c:tickLblPos val="nextTo"/>
        <c:crossAx val="961950720"/>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Sayfa1!$B$14</c:f>
              <c:strCache>
                <c:ptCount val="1"/>
                <c:pt idx="0">
                  <c:v>Sütun1</c:v>
                </c:pt>
              </c:strCache>
            </c:strRef>
          </c:tx>
          <c:invertIfNegative val="0"/>
          <c:dPt>
            <c:idx val="1"/>
            <c:invertIfNegative val="0"/>
            <c:bubble3D val="0"/>
            <c:extLst>
              <c:ext xmlns:c16="http://schemas.microsoft.com/office/drawing/2014/chart" uri="{C3380CC4-5D6E-409C-BE32-E72D297353CC}">
                <c16:uniqueId val="{00000000-496C-4F98-8E4C-9AB4AD7768A5}"/>
              </c:ext>
            </c:extLst>
          </c:dPt>
          <c:cat>
            <c:strRef>
              <c:f>Sayfa1!$A$15:$A$18</c:f>
              <c:strCache>
                <c:ptCount val="4"/>
                <c:pt idx="0">
                  <c:v>Makale</c:v>
                </c:pt>
                <c:pt idx="1">
                  <c:v>Kitap</c:v>
                </c:pt>
                <c:pt idx="2">
                  <c:v>Tez</c:v>
                </c:pt>
                <c:pt idx="3">
                  <c:v>Diğer kaynaklar</c:v>
                </c:pt>
              </c:strCache>
            </c:strRef>
          </c:cat>
          <c:val>
            <c:numRef>
              <c:f>Sayfa1!$B$15:$B$18</c:f>
              <c:numCache>
                <c:formatCode>General</c:formatCode>
                <c:ptCount val="4"/>
                <c:pt idx="0">
                  <c:v>32</c:v>
                </c:pt>
                <c:pt idx="1">
                  <c:v>28</c:v>
                </c:pt>
                <c:pt idx="2">
                  <c:v>13</c:v>
                </c:pt>
                <c:pt idx="3">
                  <c:v>15</c:v>
                </c:pt>
              </c:numCache>
            </c:numRef>
          </c:val>
          <c:extLst>
            <c:ext xmlns:c16="http://schemas.microsoft.com/office/drawing/2014/chart" uri="{C3380CC4-5D6E-409C-BE32-E72D297353CC}">
              <c16:uniqueId val="{00000001-496C-4F98-8E4C-9AB4AD7768A5}"/>
            </c:ext>
          </c:extLst>
        </c:ser>
        <c:dLbls>
          <c:showLegendKey val="0"/>
          <c:showVal val="0"/>
          <c:showCatName val="0"/>
          <c:showSerName val="0"/>
          <c:showPercent val="0"/>
          <c:showBubbleSize val="0"/>
        </c:dLbls>
        <c:gapWidth val="150"/>
        <c:axId val="456917504"/>
        <c:axId val="316031552"/>
      </c:barChart>
      <c:catAx>
        <c:axId val="456917504"/>
        <c:scaling>
          <c:orientation val="minMax"/>
        </c:scaling>
        <c:delete val="0"/>
        <c:axPos val="b"/>
        <c:numFmt formatCode="General" sourceLinked="1"/>
        <c:majorTickMark val="out"/>
        <c:minorTickMark val="none"/>
        <c:tickLblPos val="nextTo"/>
        <c:crossAx val="316031552"/>
        <c:crosses val="autoZero"/>
        <c:auto val="1"/>
        <c:lblAlgn val="ctr"/>
        <c:lblOffset val="100"/>
        <c:noMultiLvlLbl val="0"/>
      </c:catAx>
      <c:valAx>
        <c:axId val="316031552"/>
        <c:scaling>
          <c:orientation val="minMax"/>
        </c:scaling>
        <c:delete val="0"/>
        <c:axPos val="l"/>
        <c:majorGridlines>
          <c:spPr>
            <a:ln>
              <a:noFill/>
            </a:ln>
          </c:spPr>
        </c:majorGridlines>
        <c:numFmt formatCode="General" sourceLinked="1"/>
        <c:majorTickMark val="out"/>
        <c:minorTickMark val="none"/>
        <c:tickLblPos val="nextTo"/>
        <c:crossAx val="456917504"/>
        <c:crosses val="autoZero"/>
        <c:crossBetween val="between"/>
      </c:valAx>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manualLayout>
          <c:layoutTarget val="inner"/>
          <c:xMode val="edge"/>
          <c:yMode val="edge"/>
          <c:x val="8.0225498128523406E-2"/>
          <c:y val="9.3189964157706098E-2"/>
          <c:w val="0.87967425124491017"/>
          <c:h val="0.75258036293850361"/>
        </c:manualLayout>
      </c:layout>
      <c:barChart>
        <c:barDir val="col"/>
        <c:grouping val="clustered"/>
        <c:varyColors val="0"/>
        <c:ser>
          <c:idx val="0"/>
          <c:order val="0"/>
          <c:tx>
            <c:strRef>
              <c:f>Sayfa1!$B$14</c:f>
              <c:strCache>
                <c:ptCount val="1"/>
                <c:pt idx="0">
                  <c:v>Sütun1</c:v>
                </c:pt>
              </c:strCache>
            </c:strRef>
          </c:tx>
          <c:invertIfNegative val="0"/>
          <c:dPt>
            <c:idx val="1"/>
            <c:invertIfNegative val="0"/>
            <c:bubble3D val="0"/>
            <c:extLst>
              <c:ext xmlns:c16="http://schemas.microsoft.com/office/drawing/2014/chart" uri="{C3380CC4-5D6E-409C-BE32-E72D297353CC}">
                <c16:uniqueId val="{00000000-B628-4A7E-942C-DE649904E72D}"/>
              </c:ext>
            </c:extLst>
          </c:dPt>
          <c:cat>
            <c:strRef>
              <c:f>Sayfa1!$A$15:$A$16</c:f>
              <c:strCache>
                <c:ptCount val="2"/>
                <c:pt idx="0">
                  <c:v>Türkçe</c:v>
                </c:pt>
                <c:pt idx="1">
                  <c:v>Yabancı Dil</c:v>
                </c:pt>
              </c:strCache>
            </c:strRef>
          </c:cat>
          <c:val>
            <c:numRef>
              <c:f>Sayfa1!$B$15:$B$16</c:f>
              <c:numCache>
                <c:formatCode>General</c:formatCode>
                <c:ptCount val="2"/>
                <c:pt idx="0">
                  <c:v>68</c:v>
                </c:pt>
                <c:pt idx="1">
                  <c:v>20</c:v>
                </c:pt>
              </c:numCache>
            </c:numRef>
          </c:val>
          <c:extLst>
            <c:ext xmlns:c16="http://schemas.microsoft.com/office/drawing/2014/chart" uri="{C3380CC4-5D6E-409C-BE32-E72D297353CC}">
              <c16:uniqueId val="{00000001-B628-4A7E-942C-DE649904E72D}"/>
            </c:ext>
          </c:extLst>
        </c:ser>
        <c:dLbls>
          <c:showLegendKey val="0"/>
          <c:showVal val="0"/>
          <c:showCatName val="0"/>
          <c:showSerName val="0"/>
          <c:showPercent val="0"/>
          <c:showBubbleSize val="0"/>
        </c:dLbls>
        <c:gapWidth val="150"/>
        <c:axId val="581981184"/>
        <c:axId val="316033280"/>
      </c:barChart>
      <c:catAx>
        <c:axId val="581981184"/>
        <c:scaling>
          <c:orientation val="minMax"/>
        </c:scaling>
        <c:delete val="0"/>
        <c:axPos val="b"/>
        <c:numFmt formatCode="General" sourceLinked="1"/>
        <c:majorTickMark val="out"/>
        <c:minorTickMark val="none"/>
        <c:tickLblPos val="nextTo"/>
        <c:crossAx val="316033280"/>
        <c:crosses val="autoZero"/>
        <c:auto val="1"/>
        <c:lblAlgn val="ctr"/>
        <c:lblOffset val="100"/>
        <c:noMultiLvlLbl val="0"/>
      </c:catAx>
      <c:valAx>
        <c:axId val="316033280"/>
        <c:scaling>
          <c:orientation val="minMax"/>
        </c:scaling>
        <c:delete val="0"/>
        <c:axPos val="l"/>
        <c:majorGridlines>
          <c:spPr>
            <a:ln>
              <a:noFill/>
            </a:ln>
          </c:spPr>
        </c:majorGridlines>
        <c:numFmt formatCode="General" sourceLinked="1"/>
        <c:majorTickMark val="out"/>
        <c:minorTickMark val="none"/>
        <c:tickLblPos val="nextTo"/>
        <c:crossAx val="581981184"/>
        <c:crosses val="autoZero"/>
        <c:crossBetween val="between"/>
      </c:valAx>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Sayfa1!$B$14</c:f>
              <c:strCache>
                <c:ptCount val="1"/>
                <c:pt idx="0">
                  <c:v>Sütun1</c:v>
                </c:pt>
              </c:strCache>
            </c:strRef>
          </c:tx>
          <c:invertIfNegative val="0"/>
          <c:dPt>
            <c:idx val="1"/>
            <c:invertIfNegative val="0"/>
            <c:bubble3D val="0"/>
            <c:extLst>
              <c:ext xmlns:c16="http://schemas.microsoft.com/office/drawing/2014/chart" uri="{C3380CC4-5D6E-409C-BE32-E72D297353CC}">
                <c16:uniqueId val="{00000000-4D39-49D4-9B96-685B0BA380E6}"/>
              </c:ext>
            </c:extLst>
          </c:dPt>
          <c:cat>
            <c:strRef>
              <c:f>Sayfa1!$A$15:$A$17</c:f>
              <c:strCache>
                <c:ptCount val="3"/>
                <c:pt idx="0">
                  <c:v>Tek yazarlı</c:v>
                </c:pt>
                <c:pt idx="1">
                  <c:v>İki yazarlı</c:v>
                </c:pt>
                <c:pt idx="2">
                  <c:v>Çok yazarlı</c:v>
                </c:pt>
              </c:strCache>
            </c:strRef>
          </c:cat>
          <c:val>
            <c:numRef>
              <c:f>Sayfa1!$B$15:$B$17</c:f>
              <c:numCache>
                <c:formatCode>General</c:formatCode>
                <c:ptCount val="3"/>
                <c:pt idx="0">
                  <c:v>80</c:v>
                </c:pt>
                <c:pt idx="1">
                  <c:v>37</c:v>
                </c:pt>
                <c:pt idx="2">
                  <c:v>42</c:v>
                </c:pt>
              </c:numCache>
            </c:numRef>
          </c:val>
          <c:extLst>
            <c:ext xmlns:c16="http://schemas.microsoft.com/office/drawing/2014/chart" uri="{C3380CC4-5D6E-409C-BE32-E72D297353CC}">
              <c16:uniqueId val="{00000001-4D39-49D4-9B96-685B0BA380E6}"/>
            </c:ext>
          </c:extLst>
        </c:ser>
        <c:dLbls>
          <c:showLegendKey val="0"/>
          <c:showVal val="0"/>
          <c:showCatName val="0"/>
          <c:showSerName val="0"/>
          <c:showPercent val="0"/>
          <c:showBubbleSize val="0"/>
        </c:dLbls>
        <c:gapWidth val="150"/>
        <c:axId val="584754688"/>
        <c:axId val="316035008"/>
      </c:barChart>
      <c:catAx>
        <c:axId val="584754688"/>
        <c:scaling>
          <c:orientation val="minMax"/>
        </c:scaling>
        <c:delete val="0"/>
        <c:axPos val="b"/>
        <c:numFmt formatCode="General" sourceLinked="1"/>
        <c:majorTickMark val="out"/>
        <c:minorTickMark val="none"/>
        <c:tickLblPos val="nextTo"/>
        <c:crossAx val="316035008"/>
        <c:crosses val="autoZero"/>
        <c:auto val="1"/>
        <c:lblAlgn val="ctr"/>
        <c:lblOffset val="100"/>
        <c:noMultiLvlLbl val="0"/>
      </c:catAx>
      <c:valAx>
        <c:axId val="316035008"/>
        <c:scaling>
          <c:orientation val="minMax"/>
        </c:scaling>
        <c:delete val="0"/>
        <c:axPos val="l"/>
        <c:majorGridlines>
          <c:spPr>
            <a:ln>
              <a:noFill/>
            </a:ln>
          </c:spPr>
        </c:majorGridlines>
        <c:numFmt formatCode="General" sourceLinked="1"/>
        <c:majorTickMark val="out"/>
        <c:minorTickMark val="none"/>
        <c:tickLblPos val="nextTo"/>
        <c:crossAx val="584754688"/>
        <c:crosses val="autoZero"/>
        <c:crossBetween val="between"/>
      </c:valAx>
    </c:plotArea>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Sayfa1!$B$14</c:f>
              <c:strCache>
                <c:ptCount val="1"/>
                <c:pt idx="0">
                  <c:v>Sütun1</c:v>
                </c:pt>
              </c:strCache>
            </c:strRef>
          </c:tx>
          <c:invertIfNegative val="0"/>
          <c:dPt>
            <c:idx val="1"/>
            <c:invertIfNegative val="0"/>
            <c:bubble3D val="0"/>
            <c:extLst>
              <c:ext xmlns:c16="http://schemas.microsoft.com/office/drawing/2014/chart" uri="{C3380CC4-5D6E-409C-BE32-E72D297353CC}">
                <c16:uniqueId val="{00000000-346B-4CA2-9D40-D74F802BC37C}"/>
              </c:ext>
            </c:extLst>
          </c:dPt>
          <c:cat>
            <c:strRef>
              <c:f>Sayfa1!$A$15:$A$18</c:f>
              <c:strCache>
                <c:ptCount val="4"/>
                <c:pt idx="0">
                  <c:v>Makale</c:v>
                </c:pt>
                <c:pt idx="1">
                  <c:v>Kitap</c:v>
                </c:pt>
                <c:pt idx="2">
                  <c:v>Tez</c:v>
                </c:pt>
                <c:pt idx="3">
                  <c:v>Diğer kaynaklar</c:v>
                </c:pt>
              </c:strCache>
            </c:strRef>
          </c:cat>
          <c:val>
            <c:numRef>
              <c:f>Sayfa1!$B$15:$B$18</c:f>
              <c:numCache>
                <c:formatCode>General</c:formatCode>
                <c:ptCount val="4"/>
                <c:pt idx="0">
                  <c:v>79</c:v>
                </c:pt>
                <c:pt idx="1">
                  <c:v>38</c:v>
                </c:pt>
                <c:pt idx="2">
                  <c:v>18</c:v>
                </c:pt>
                <c:pt idx="3">
                  <c:v>23</c:v>
                </c:pt>
              </c:numCache>
            </c:numRef>
          </c:val>
          <c:extLst>
            <c:ext xmlns:c16="http://schemas.microsoft.com/office/drawing/2014/chart" uri="{C3380CC4-5D6E-409C-BE32-E72D297353CC}">
              <c16:uniqueId val="{00000001-346B-4CA2-9D40-D74F802BC37C}"/>
            </c:ext>
          </c:extLst>
        </c:ser>
        <c:dLbls>
          <c:showLegendKey val="0"/>
          <c:showVal val="0"/>
          <c:showCatName val="0"/>
          <c:showSerName val="0"/>
          <c:showPercent val="0"/>
          <c:showBubbleSize val="0"/>
        </c:dLbls>
        <c:gapWidth val="150"/>
        <c:axId val="596163584"/>
        <c:axId val="316036736"/>
      </c:barChart>
      <c:catAx>
        <c:axId val="596163584"/>
        <c:scaling>
          <c:orientation val="minMax"/>
        </c:scaling>
        <c:delete val="0"/>
        <c:axPos val="b"/>
        <c:numFmt formatCode="General" sourceLinked="1"/>
        <c:majorTickMark val="out"/>
        <c:minorTickMark val="none"/>
        <c:tickLblPos val="nextTo"/>
        <c:crossAx val="316036736"/>
        <c:crosses val="autoZero"/>
        <c:auto val="1"/>
        <c:lblAlgn val="ctr"/>
        <c:lblOffset val="100"/>
        <c:noMultiLvlLbl val="0"/>
      </c:catAx>
      <c:valAx>
        <c:axId val="316036736"/>
        <c:scaling>
          <c:orientation val="minMax"/>
        </c:scaling>
        <c:delete val="0"/>
        <c:axPos val="l"/>
        <c:majorGridlines>
          <c:spPr>
            <a:ln>
              <a:noFill/>
            </a:ln>
          </c:spPr>
        </c:majorGridlines>
        <c:numFmt formatCode="General" sourceLinked="1"/>
        <c:majorTickMark val="out"/>
        <c:minorTickMark val="none"/>
        <c:tickLblPos val="nextTo"/>
        <c:crossAx val="596163584"/>
        <c:crosses val="autoZero"/>
        <c:crossBetween val="between"/>
      </c:valAx>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Sayfa1!$B$14</c:f>
              <c:strCache>
                <c:ptCount val="1"/>
                <c:pt idx="0">
                  <c:v>Sütun1</c:v>
                </c:pt>
              </c:strCache>
            </c:strRef>
          </c:tx>
          <c:invertIfNegative val="0"/>
          <c:dPt>
            <c:idx val="1"/>
            <c:invertIfNegative val="0"/>
            <c:bubble3D val="0"/>
            <c:extLst>
              <c:ext xmlns:c16="http://schemas.microsoft.com/office/drawing/2014/chart" uri="{C3380CC4-5D6E-409C-BE32-E72D297353CC}">
                <c16:uniqueId val="{00000000-1858-4ABF-AAD7-1E2A20D37890}"/>
              </c:ext>
            </c:extLst>
          </c:dPt>
          <c:cat>
            <c:strRef>
              <c:f>Sayfa1!$A$15:$A$16</c:f>
              <c:strCache>
                <c:ptCount val="2"/>
                <c:pt idx="0">
                  <c:v>Türkçe</c:v>
                </c:pt>
                <c:pt idx="1">
                  <c:v>Yabancı Dil</c:v>
                </c:pt>
              </c:strCache>
            </c:strRef>
          </c:cat>
          <c:val>
            <c:numRef>
              <c:f>Sayfa1!$B$15:$B$16</c:f>
              <c:numCache>
                <c:formatCode>General</c:formatCode>
                <c:ptCount val="2"/>
                <c:pt idx="0">
                  <c:v>71</c:v>
                </c:pt>
                <c:pt idx="1">
                  <c:v>87</c:v>
                </c:pt>
              </c:numCache>
            </c:numRef>
          </c:val>
          <c:extLst>
            <c:ext xmlns:c16="http://schemas.microsoft.com/office/drawing/2014/chart" uri="{C3380CC4-5D6E-409C-BE32-E72D297353CC}">
              <c16:uniqueId val="{00000001-1858-4ABF-AAD7-1E2A20D37890}"/>
            </c:ext>
          </c:extLst>
        </c:ser>
        <c:dLbls>
          <c:showLegendKey val="0"/>
          <c:showVal val="0"/>
          <c:showCatName val="0"/>
          <c:showSerName val="0"/>
          <c:showPercent val="0"/>
          <c:showBubbleSize val="0"/>
        </c:dLbls>
        <c:gapWidth val="150"/>
        <c:axId val="456918016"/>
        <c:axId val="316038464"/>
      </c:barChart>
      <c:catAx>
        <c:axId val="456918016"/>
        <c:scaling>
          <c:orientation val="minMax"/>
        </c:scaling>
        <c:delete val="0"/>
        <c:axPos val="b"/>
        <c:numFmt formatCode="General" sourceLinked="1"/>
        <c:majorTickMark val="out"/>
        <c:minorTickMark val="none"/>
        <c:tickLblPos val="nextTo"/>
        <c:crossAx val="316038464"/>
        <c:crosses val="autoZero"/>
        <c:auto val="1"/>
        <c:lblAlgn val="ctr"/>
        <c:lblOffset val="100"/>
        <c:noMultiLvlLbl val="0"/>
      </c:catAx>
      <c:valAx>
        <c:axId val="316038464"/>
        <c:scaling>
          <c:orientation val="minMax"/>
        </c:scaling>
        <c:delete val="0"/>
        <c:axPos val="l"/>
        <c:majorGridlines>
          <c:spPr>
            <a:ln>
              <a:noFill/>
            </a:ln>
          </c:spPr>
        </c:majorGridlines>
        <c:numFmt formatCode="General" sourceLinked="1"/>
        <c:majorTickMark val="out"/>
        <c:minorTickMark val="none"/>
        <c:tickLblPos val="nextTo"/>
        <c:crossAx val="456918016"/>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Sayfa1!$B$1</c:f>
              <c:strCache>
                <c:ptCount val="1"/>
                <c:pt idx="0">
                  <c:v>Tez Türleri</c:v>
                </c:pt>
              </c:strCache>
            </c:strRef>
          </c:tx>
          <c:invertIfNegative val="0"/>
          <c:dPt>
            <c:idx val="1"/>
            <c:invertIfNegative val="0"/>
            <c:bubble3D val="0"/>
            <c:extLst>
              <c:ext xmlns:c16="http://schemas.microsoft.com/office/drawing/2014/chart" uri="{C3380CC4-5D6E-409C-BE32-E72D297353CC}">
                <c16:uniqueId val="{00000000-B11F-4232-BCBB-AABC54AC2AFE}"/>
              </c:ext>
            </c:extLst>
          </c:dPt>
          <c:cat>
            <c:strRef>
              <c:f>Sayfa1!$A$2:$A$3</c:f>
              <c:strCache>
                <c:ptCount val="2"/>
                <c:pt idx="0">
                  <c:v>Tam metin erişimi açık</c:v>
                </c:pt>
                <c:pt idx="1">
                  <c:v>Tam metin erişimi kapalı</c:v>
                </c:pt>
              </c:strCache>
            </c:strRef>
          </c:cat>
          <c:val>
            <c:numRef>
              <c:f>Sayfa1!$B$2:$B$3</c:f>
              <c:numCache>
                <c:formatCode>General</c:formatCode>
                <c:ptCount val="2"/>
                <c:pt idx="0">
                  <c:v>41</c:v>
                </c:pt>
                <c:pt idx="1">
                  <c:v>5</c:v>
                </c:pt>
              </c:numCache>
            </c:numRef>
          </c:val>
          <c:extLst>
            <c:ext xmlns:c16="http://schemas.microsoft.com/office/drawing/2014/chart" uri="{C3380CC4-5D6E-409C-BE32-E72D297353CC}">
              <c16:uniqueId val="{00000001-B11F-4232-BCBB-AABC54AC2AFE}"/>
            </c:ext>
          </c:extLst>
        </c:ser>
        <c:dLbls>
          <c:showLegendKey val="0"/>
          <c:showVal val="0"/>
          <c:showCatName val="0"/>
          <c:showSerName val="0"/>
          <c:showPercent val="0"/>
          <c:showBubbleSize val="0"/>
        </c:dLbls>
        <c:gapWidth val="150"/>
        <c:axId val="581982720"/>
        <c:axId val="316016896"/>
      </c:barChart>
      <c:catAx>
        <c:axId val="581982720"/>
        <c:scaling>
          <c:orientation val="minMax"/>
        </c:scaling>
        <c:delete val="0"/>
        <c:axPos val="b"/>
        <c:numFmt formatCode="General" sourceLinked="0"/>
        <c:majorTickMark val="out"/>
        <c:minorTickMark val="none"/>
        <c:tickLblPos val="nextTo"/>
        <c:crossAx val="316016896"/>
        <c:crosses val="autoZero"/>
        <c:auto val="1"/>
        <c:lblAlgn val="ctr"/>
        <c:lblOffset val="100"/>
        <c:noMultiLvlLbl val="0"/>
      </c:catAx>
      <c:valAx>
        <c:axId val="316016896"/>
        <c:scaling>
          <c:orientation val="minMax"/>
        </c:scaling>
        <c:delete val="0"/>
        <c:axPos val="l"/>
        <c:majorGridlines>
          <c:spPr>
            <a:ln>
              <a:noFill/>
            </a:ln>
          </c:spPr>
        </c:majorGridlines>
        <c:numFmt formatCode="General" sourceLinked="1"/>
        <c:majorTickMark val="out"/>
        <c:minorTickMark val="none"/>
        <c:tickLblPos val="nextTo"/>
        <c:crossAx val="581982720"/>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Sayfa1!$B$1</c:f>
              <c:strCache>
                <c:ptCount val="1"/>
                <c:pt idx="0">
                  <c:v>Tez Türleri</c:v>
                </c:pt>
              </c:strCache>
            </c:strRef>
          </c:tx>
          <c:invertIfNegative val="0"/>
          <c:dPt>
            <c:idx val="1"/>
            <c:invertIfNegative val="0"/>
            <c:bubble3D val="0"/>
            <c:extLst>
              <c:ext xmlns:c16="http://schemas.microsoft.com/office/drawing/2014/chart" uri="{C3380CC4-5D6E-409C-BE32-E72D297353CC}">
                <c16:uniqueId val="{00000000-D278-44D6-A5F6-3B8624A12A6A}"/>
              </c:ext>
            </c:extLst>
          </c:dPt>
          <c:cat>
            <c:strRef>
              <c:f>Sayfa1!$A$2:$A$3</c:f>
              <c:strCache>
                <c:ptCount val="2"/>
                <c:pt idx="0">
                  <c:v>Kadın</c:v>
                </c:pt>
                <c:pt idx="1">
                  <c:v>Erkek</c:v>
                </c:pt>
              </c:strCache>
            </c:strRef>
          </c:cat>
          <c:val>
            <c:numRef>
              <c:f>Sayfa1!$B$2:$B$3</c:f>
              <c:numCache>
                <c:formatCode>General</c:formatCode>
                <c:ptCount val="2"/>
                <c:pt idx="0">
                  <c:v>31</c:v>
                </c:pt>
                <c:pt idx="1">
                  <c:v>15</c:v>
                </c:pt>
              </c:numCache>
            </c:numRef>
          </c:val>
          <c:extLst>
            <c:ext xmlns:c16="http://schemas.microsoft.com/office/drawing/2014/chart" uri="{C3380CC4-5D6E-409C-BE32-E72D297353CC}">
              <c16:uniqueId val="{00000001-D278-44D6-A5F6-3B8624A12A6A}"/>
            </c:ext>
          </c:extLst>
        </c:ser>
        <c:dLbls>
          <c:showLegendKey val="0"/>
          <c:showVal val="0"/>
          <c:showCatName val="0"/>
          <c:showSerName val="0"/>
          <c:showPercent val="0"/>
          <c:showBubbleSize val="0"/>
        </c:dLbls>
        <c:gapWidth val="150"/>
        <c:axId val="456778752"/>
        <c:axId val="316018624"/>
      </c:barChart>
      <c:catAx>
        <c:axId val="456778752"/>
        <c:scaling>
          <c:orientation val="minMax"/>
        </c:scaling>
        <c:delete val="0"/>
        <c:axPos val="b"/>
        <c:numFmt formatCode="General" sourceLinked="0"/>
        <c:majorTickMark val="out"/>
        <c:minorTickMark val="none"/>
        <c:tickLblPos val="nextTo"/>
        <c:crossAx val="316018624"/>
        <c:crosses val="autoZero"/>
        <c:auto val="1"/>
        <c:lblAlgn val="ctr"/>
        <c:lblOffset val="100"/>
        <c:noMultiLvlLbl val="0"/>
      </c:catAx>
      <c:valAx>
        <c:axId val="316018624"/>
        <c:scaling>
          <c:orientation val="minMax"/>
        </c:scaling>
        <c:delete val="0"/>
        <c:axPos val="l"/>
        <c:majorGridlines>
          <c:spPr>
            <a:ln>
              <a:noFill/>
            </a:ln>
          </c:spPr>
        </c:majorGridlines>
        <c:numFmt formatCode="General" sourceLinked="1"/>
        <c:majorTickMark val="out"/>
        <c:minorTickMark val="none"/>
        <c:tickLblPos val="nextTo"/>
        <c:crossAx val="456778752"/>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Sayfa1!$B$14</c:f>
              <c:strCache>
                <c:ptCount val="1"/>
                <c:pt idx="0">
                  <c:v>Sütun1</c:v>
                </c:pt>
              </c:strCache>
            </c:strRef>
          </c:tx>
          <c:invertIfNegative val="0"/>
          <c:cat>
            <c:strRef>
              <c:f>Sayfa1!$A$15:$A$37</c:f>
              <c:strCache>
                <c:ptCount val="23"/>
                <c:pt idx="0">
                  <c:v>Gazi Üni.</c:v>
                </c:pt>
                <c:pt idx="1">
                  <c:v>Hacettepe Üni.</c:v>
                </c:pt>
                <c:pt idx="2">
                  <c:v>Marmara Üni. </c:v>
                </c:pt>
                <c:pt idx="3">
                  <c:v>Anadolu Üni. </c:v>
                </c:pt>
                <c:pt idx="4">
                  <c:v>Balıkesir Üni.</c:v>
                </c:pt>
                <c:pt idx="5">
                  <c:v>Dokuz Eylül Üni. </c:v>
                </c:pt>
                <c:pt idx="6">
                  <c:v>Aksaray Üni. </c:v>
                </c:pt>
                <c:pt idx="7">
                  <c:v>İstanbul Üni. </c:v>
                </c:pt>
                <c:pt idx="8">
                  <c:v>Kocaeli Üni. </c:v>
                </c:pt>
                <c:pt idx="9">
                  <c:v>Bartın Üni. </c:v>
                </c:pt>
                <c:pt idx="10">
                  <c:v>Celal Bayar Üni.</c:v>
                </c:pt>
                <c:pt idx="11">
                  <c:v>Necmettin Erbakan Üni. </c:v>
                </c:pt>
                <c:pt idx="12">
                  <c:v>Niğde Ömer Halisdemir Üni. </c:v>
                </c:pt>
                <c:pt idx="13">
                  <c:v>Uludağ Üni.</c:v>
                </c:pt>
                <c:pt idx="14">
                  <c:v>Amasya Üni. </c:v>
                </c:pt>
                <c:pt idx="15">
                  <c:v> Fırat Üni. </c:v>
                </c:pt>
                <c:pt idx="16">
                  <c:v>Afyon Kocatepe Üni.</c:v>
                </c:pt>
                <c:pt idx="17">
                  <c:v>Pamukkale Üni. </c:v>
                </c:pt>
                <c:pt idx="18">
                  <c:v>Maltepe Üni. </c:v>
                </c:pt>
                <c:pt idx="19">
                  <c:v>Karadeniz Teknik Üni. </c:v>
                </c:pt>
                <c:pt idx="20">
                  <c:v>Yüzüncü Yıl Üni. </c:v>
                </c:pt>
                <c:pt idx="21">
                  <c:v>Sütçü İmam Üni.</c:v>
                </c:pt>
                <c:pt idx="22">
                  <c:v>Bilkent Üni.</c:v>
                </c:pt>
              </c:strCache>
            </c:strRef>
          </c:cat>
          <c:val>
            <c:numRef>
              <c:f>Sayfa1!$B$15:$B$37</c:f>
              <c:numCache>
                <c:formatCode>General</c:formatCode>
                <c:ptCount val="23"/>
                <c:pt idx="0">
                  <c:v>10</c:v>
                </c:pt>
                <c:pt idx="1">
                  <c:v>7</c:v>
                </c:pt>
                <c:pt idx="2">
                  <c:v>3</c:v>
                </c:pt>
                <c:pt idx="3">
                  <c:v>3</c:v>
                </c:pt>
                <c:pt idx="4">
                  <c:v>3</c:v>
                </c:pt>
                <c:pt idx="5">
                  <c:v>2</c:v>
                </c:pt>
                <c:pt idx="6">
                  <c:v>2</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numCache>
            </c:numRef>
          </c:val>
          <c:extLst>
            <c:ext xmlns:c16="http://schemas.microsoft.com/office/drawing/2014/chart" uri="{C3380CC4-5D6E-409C-BE32-E72D297353CC}">
              <c16:uniqueId val="{00000000-30C0-440D-B96C-FC894F0D196F}"/>
            </c:ext>
          </c:extLst>
        </c:ser>
        <c:dLbls>
          <c:showLegendKey val="0"/>
          <c:showVal val="0"/>
          <c:showCatName val="0"/>
          <c:showSerName val="0"/>
          <c:showPercent val="0"/>
          <c:showBubbleSize val="0"/>
        </c:dLbls>
        <c:gapWidth val="150"/>
        <c:axId val="456779264"/>
        <c:axId val="316020928"/>
      </c:barChart>
      <c:catAx>
        <c:axId val="456779264"/>
        <c:scaling>
          <c:orientation val="minMax"/>
        </c:scaling>
        <c:delete val="0"/>
        <c:axPos val="b"/>
        <c:numFmt formatCode="General" sourceLinked="0"/>
        <c:majorTickMark val="out"/>
        <c:minorTickMark val="none"/>
        <c:tickLblPos val="nextTo"/>
        <c:crossAx val="316020928"/>
        <c:crosses val="autoZero"/>
        <c:auto val="1"/>
        <c:lblAlgn val="ctr"/>
        <c:lblOffset val="100"/>
        <c:noMultiLvlLbl val="0"/>
      </c:catAx>
      <c:valAx>
        <c:axId val="316020928"/>
        <c:scaling>
          <c:orientation val="minMax"/>
        </c:scaling>
        <c:delete val="0"/>
        <c:axPos val="l"/>
        <c:majorGridlines>
          <c:spPr>
            <a:ln>
              <a:noFill/>
            </a:ln>
          </c:spPr>
        </c:majorGridlines>
        <c:numFmt formatCode="General" sourceLinked="1"/>
        <c:majorTickMark val="out"/>
        <c:minorTickMark val="none"/>
        <c:tickLblPos val="nextTo"/>
        <c:crossAx val="456779264"/>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Sayfa1!$B$14</c:f>
              <c:strCache>
                <c:ptCount val="1"/>
                <c:pt idx="0">
                  <c:v>Sütun1</c:v>
                </c:pt>
              </c:strCache>
            </c:strRef>
          </c:tx>
          <c:invertIfNegative val="0"/>
          <c:cat>
            <c:strRef>
              <c:f>Sayfa1!$A$15:$A$29</c:f>
              <c:strCache>
                <c:ptCount val="15"/>
                <c:pt idx="0">
                  <c:v>İlköğretim ABD</c:v>
                </c:pt>
                <c:pt idx="1">
                  <c:v>Güzel Sanatlar Eğitimi ABD</c:v>
                </c:pt>
                <c:pt idx="2">
                  <c:v> Resim-İş Öğretmenliği ABD</c:v>
                </c:pt>
                <c:pt idx="3">
                  <c:v>Eğitim Bilimleri ABD</c:v>
                </c:pt>
                <c:pt idx="4">
                  <c:v>Fen Bilgisi Eğitimi ABD</c:v>
                </c:pt>
                <c:pt idx="5">
                  <c:v>Temel Eğitim ABD</c:v>
                </c:pt>
                <c:pt idx="6">
                  <c:v>Ortaöğretim Sosyal Alanlar Eğitimi ABD</c:v>
                </c:pt>
                <c:pt idx="7">
                  <c:v>Yaşam Boyu Öğrenme ABD</c:v>
                </c:pt>
                <c:pt idx="8">
                  <c:v>Sosyal Bilgiler ve Türkçe Eğitimi ABD</c:v>
                </c:pt>
                <c:pt idx="9">
                  <c:v>Eğitim Programları ve Öğretimi ABD</c:v>
                </c:pt>
                <c:pt idx="10">
                  <c:v>Çocuk Gelişimi ve Ev Yönetimi Eğitimi ABD</c:v>
                </c:pt>
                <c:pt idx="11">
                  <c:v> Kimya Öğretmenliği ABD</c:v>
                </c:pt>
                <c:pt idx="12">
                  <c:v>Türkçe Eğitimi ABD</c:v>
                </c:pt>
                <c:pt idx="13">
                  <c:v>Sosyal Bilgiler Öğretmenliği ABD</c:v>
                </c:pt>
                <c:pt idx="14">
                  <c:v>Ortaöğretim Fen ve Matematik Alanları Eğitimi ABD</c:v>
                </c:pt>
              </c:strCache>
            </c:strRef>
          </c:cat>
          <c:val>
            <c:numRef>
              <c:f>Sayfa1!$B$15:$B$29</c:f>
              <c:numCache>
                <c:formatCode>General</c:formatCode>
                <c:ptCount val="15"/>
                <c:pt idx="0">
                  <c:v>26</c:v>
                </c:pt>
                <c:pt idx="1">
                  <c:v>4</c:v>
                </c:pt>
                <c:pt idx="2">
                  <c:v>2</c:v>
                </c:pt>
                <c:pt idx="3">
                  <c:v>2</c:v>
                </c:pt>
                <c:pt idx="4">
                  <c:v>1</c:v>
                </c:pt>
                <c:pt idx="5">
                  <c:v>1</c:v>
                </c:pt>
                <c:pt idx="6">
                  <c:v>1</c:v>
                </c:pt>
                <c:pt idx="7">
                  <c:v>1</c:v>
                </c:pt>
                <c:pt idx="8">
                  <c:v>1</c:v>
                </c:pt>
                <c:pt idx="9">
                  <c:v>1</c:v>
                </c:pt>
                <c:pt idx="10">
                  <c:v>1</c:v>
                </c:pt>
                <c:pt idx="11">
                  <c:v>1</c:v>
                </c:pt>
                <c:pt idx="12">
                  <c:v>1</c:v>
                </c:pt>
                <c:pt idx="13">
                  <c:v>1</c:v>
                </c:pt>
                <c:pt idx="14">
                  <c:v>1</c:v>
                </c:pt>
              </c:numCache>
            </c:numRef>
          </c:val>
          <c:extLst>
            <c:ext xmlns:c16="http://schemas.microsoft.com/office/drawing/2014/chart" uri="{C3380CC4-5D6E-409C-BE32-E72D297353CC}">
              <c16:uniqueId val="{00000000-2FD2-4DB1-838C-B76CFB13B026}"/>
            </c:ext>
          </c:extLst>
        </c:ser>
        <c:dLbls>
          <c:showLegendKey val="0"/>
          <c:showVal val="0"/>
          <c:showCatName val="0"/>
          <c:showSerName val="0"/>
          <c:showPercent val="0"/>
          <c:showBubbleSize val="0"/>
        </c:dLbls>
        <c:gapWidth val="150"/>
        <c:axId val="596164096"/>
        <c:axId val="316022080"/>
      </c:barChart>
      <c:catAx>
        <c:axId val="596164096"/>
        <c:scaling>
          <c:orientation val="minMax"/>
        </c:scaling>
        <c:delete val="0"/>
        <c:axPos val="b"/>
        <c:numFmt formatCode="General" sourceLinked="0"/>
        <c:majorTickMark val="out"/>
        <c:minorTickMark val="none"/>
        <c:tickLblPos val="nextTo"/>
        <c:crossAx val="316022080"/>
        <c:crosses val="autoZero"/>
        <c:auto val="1"/>
        <c:lblAlgn val="ctr"/>
        <c:lblOffset val="100"/>
        <c:noMultiLvlLbl val="0"/>
      </c:catAx>
      <c:valAx>
        <c:axId val="316022080"/>
        <c:scaling>
          <c:orientation val="minMax"/>
        </c:scaling>
        <c:delete val="0"/>
        <c:axPos val="l"/>
        <c:majorGridlines>
          <c:spPr>
            <a:ln>
              <a:noFill/>
            </a:ln>
          </c:spPr>
        </c:majorGridlines>
        <c:numFmt formatCode="General" sourceLinked="1"/>
        <c:majorTickMark val="out"/>
        <c:minorTickMark val="none"/>
        <c:tickLblPos val="nextTo"/>
        <c:crossAx val="596164096"/>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Sayfa1!$B$14</c:f>
              <c:strCache>
                <c:ptCount val="1"/>
                <c:pt idx="0">
                  <c:v>Sütun1</c:v>
                </c:pt>
              </c:strCache>
            </c:strRef>
          </c:tx>
          <c:invertIfNegative val="0"/>
          <c:cat>
            <c:numRef>
              <c:f>Sayfa1!$A$15:$A$29</c:f>
              <c:numCache>
                <c:formatCode>General</c:formatCode>
                <c:ptCount val="15"/>
                <c:pt idx="0">
                  <c:v>2019</c:v>
                </c:pt>
                <c:pt idx="1">
                  <c:v>2018</c:v>
                </c:pt>
                <c:pt idx="2">
                  <c:v>2017</c:v>
                </c:pt>
                <c:pt idx="3">
                  <c:v>2016</c:v>
                </c:pt>
                <c:pt idx="4">
                  <c:v>2015</c:v>
                </c:pt>
                <c:pt idx="5">
                  <c:v>2014</c:v>
                </c:pt>
                <c:pt idx="6">
                  <c:v>2013</c:v>
                </c:pt>
                <c:pt idx="7">
                  <c:v>2012</c:v>
                </c:pt>
                <c:pt idx="8">
                  <c:v>2011</c:v>
                </c:pt>
                <c:pt idx="9">
                  <c:v>2010</c:v>
                </c:pt>
                <c:pt idx="10">
                  <c:v>2009</c:v>
                </c:pt>
                <c:pt idx="11">
                  <c:v>2006</c:v>
                </c:pt>
                <c:pt idx="12">
                  <c:v>2004</c:v>
                </c:pt>
                <c:pt idx="13">
                  <c:v>2003</c:v>
                </c:pt>
                <c:pt idx="14">
                  <c:v>1999</c:v>
                </c:pt>
              </c:numCache>
            </c:numRef>
          </c:cat>
          <c:val>
            <c:numRef>
              <c:f>Sayfa1!$B$15:$B$29</c:f>
              <c:numCache>
                <c:formatCode>General</c:formatCode>
                <c:ptCount val="15"/>
                <c:pt idx="0">
                  <c:v>3</c:v>
                </c:pt>
                <c:pt idx="1">
                  <c:v>5</c:v>
                </c:pt>
                <c:pt idx="2">
                  <c:v>4</c:v>
                </c:pt>
                <c:pt idx="3">
                  <c:v>1</c:v>
                </c:pt>
                <c:pt idx="4">
                  <c:v>5</c:v>
                </c:pt>
                <c:pt idx="5">
                  <c:v>1</c:v>
                </c:pt>
                <c:pt idx="6">
                  <c:v>4</c:v>
                </c:pt>
                <c:pt idx="7">
                  <c:v>3</c:v>
                </c:pt>
                <c:pt idx="8">
                  <c:v>4</c:v>
                </c:pt>
                <c:pt idx="9">
                  <c:v>5</c:v>
                </c:pt>
                <c:pt idx="10">
                  <c:v>3</c:v>
                </c:pt>
                <c:pt idx="11">
                  <c:v>3</c:v>
                </c:pt>
                <c:pt idx="12">
                  <c:v>2</c:v>
                </c:pt>
                <c:pt idx="13">
                  <c:v>2</c:v>
                </c:pt>
                <c:pt idx="14">
                  <c:v>1</c:v>
                </c:pt>
              </c:numCache>
            </c:numRef>
          </c:val>
          <c:extLst>
            <c:ext xmlns:c16="http://schemas.microsoft.com/office/drawing/2014/chart" uri="{C3380CC4-5D6E-409C-BE32-E72D297353CC}">
              <c16:uniqueId val="{00000000-86DB-4318-9406-A3C560378FE9}"/>
            </c:ext>
          </c:extLst>
        </c:ser>
        <c:dLbls>
          <c:showLegendKey val="0"/>
          <c:showVal val="0"/>
          <c:showCatName val="0"/>
          <c:showSerName val="0"/>
          <c:showPercent val="0"/>
          <c:showBubbleSize val="0"/>
        </c:dLbls>
        <c:gapWidth val="150"/>
        <c:axId val="456916992"/>
        <c:axId val="316023936"/>
      </c:barChart>
      <c:catAx>
        <c:axId val="456916992"/>
        <c:scaling>
          <c:orientation val="minMax"/>
        </c:scaling>
        <c:delete val="0"/>
        <c:axPos val="b"/>
        <c:numFmt formatCode="General" sourceLinked="1"/>
        <c:majorTickMark val="out"/>
        <c:minorTickMark val="none"/>
        <c:tickLblPos val="nextTo"/>
        <c:crossAx val="316023936"/>
        <c:crosses val="autoZero"/>
        <c:auto val="1"/>
        <c:lblAlgn val="ctr"/>
        <c:lblOffset val="100"/>
        <c:noMultiLvlLbl val="0"/>
      </c:catAx>
      <c:valAx>
        <c:axId val="316023936"/>
        <c:scaling>
          <c:orientation val="minMax"/>
        </c:scaling>
        <c:delete val="0"/>
        <c:axPos val="l"/>
        <c:majorGridlines>
          <c:spPr>
            <a:ln>
              <a:noFill/>
            </a:ln>
          </c:spPr>
        </c:majorGridlines>
        <c:numFmt formatCode="General" sourceLinked="1"/>
        <c:majorTickMark val="out"/>
        <c:minorTickMark val="none"/>
        <c:tickLblPos val="nextTo"/>
        <c:crossAx val="456916992"/>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manualLayout>
          <c:layoutTarget val="inner"/>
          <c:xMode val="edge"/>
          <c:yMode val="edge"/>
          <c:x val="9.2570626615117835E-2"/>
          <c:y val="7.6555023923444973E-2"/>
          <c:w val="0.85944308375334832"/>
          <c:h val="0.77980836127541475"/>
        </c:manualLayout>
      </c:layout>
      <c:barChart>
        <c:barDir val="col"/>
        <c:grouping val="clustered"/>
        <c:varyColors val="0"/>
        <c:ser>
          <c:idx val="0"/>
          <c:order val="0"/>
          <c:tx>
            <c:strRef>
              <c:f>Sayfa1!$B$14</c:f>
              <c:strCache>
                <c:ptCount val="1"/>
                <c:pt idx="0">
                  <c:v>Sütun1</c:v>
                </c:pt>
              </c:strCache>
            </c:strRef>
          </c:tx>
          <c:invertIfNegative val="0"/>
          <c:dPt>
            <c:idx val="1"/>
            <c:invertIfNegative val="0"/>
            <c:bubble3D val="0"/>
            <c:extLst>
              <c:ext xmlns:c16="http://schemas.microsoft.com/office/drawing/2014/chart" uri="{C3380CC4-5D6E-409C-BE32-E72D297353CC}">
                <c16:uniqueId val="{00000000-B4F3-455C-96E2-17BB6D5A8B9E}"/>
              </c:ext>
            </c:extLst>
          </c:dPt>
          <c:cat>
            <c:strRef>
              <c:f>Sayfa1!$A$15:$A$16</c:f>
              <c:strCache>
                <c:ptCount val="2"/>
                <c:pt idx="0">
                  <c:v>Doktora</c:v>
                </c:pt>
                <c:pt idx="1">
                  <c:v>Yüksek Lisans</c:v>
                </c:pt>
              </c:strCache>
            </c:strRef>
          </c:cat>
          <c:val>
            <c:numRef>
              <c:f>Sayfa1!$B$15:$B$16</c:f>
              <c:numCache>
                <c:formatCode>General</c:formatCode>
                <c:ptCount val="2"/>
                <c:pt idx="0">
                  <c:v>223</c:v>
                </c:pt>
                <c:pt idx="1">
                  <c:v>128</c:v>
                </c:pt>
              </c:numCache>
            </c:numRef>
          </c:val>
          <c:extLst>
            <c:ext xmlns:c16="http://schemas.microsoft.com/office/drawing/2014/chart" uri="{C3380CC4-5D6E-409C-BE32-E72D297353CC}">
              <c16:uniqueId val="{00000001-B4F3-455C-96E2-17BB6D5A8B9E}"/>
            </c:ext>
          </c:extLst>
        </c:ser>
        <c:dLbls>
          <c:showLegendKey val="0"/>
          <c:showVal val="0"/>
          <c:showCatName val="0"/>
          <c:showSerName val="0"/>
          <c:showPercent val="0"/>
          <c:showBubbleSize val="0"/>
        </c:dLbls>
        <c:gapWidth val="150"/>
        <c:axId val="456919552"/>
        <c:axId val="316025664"/>
      </c:barChart>
      <c:catAx>
        <c:axId val="456919552"/>
        <c:scaling>
          <c:orientation val="minMax"/>
        </c:scaling>
        <c:delete val="0"/>
        <c:axPos val="b"/>
        <c:numFmt formatCode="General" sourceLinked="1"/>
        <c:majorTickMark val="out"/>
        <c:minorTickMark val="none"/>
        <c:tickLblPos val="nextTo"/>
        <c:crossAx val="316025664"/>
        <c:crosses val="autoZero"/>
        <c:auto val="1"/>
        <c:lblAlgn val="ctr"/>
        <c:lblOffset val="100"/>
        <c:noMultiLvlLbl val="0"/>
      </c:catAx>
      <c:valAx>
        <c:axId val="316025664"/>
        <c:scaling>
          <c:orientation val="minMax"/>
        </c:scaling>
        <c:delete val="0"/>
        <c:axPos val="l"/>
        <c:majorGridlines>
          <c:spPr>
            <a:ln>
              <a:noFill/>
            </a:ln>
          </c:spPr>
        </c:majorGridlines>
        <c:numFmt formatCode="General" sourceLinked="1"/>
        <c:majorTickMark val="out"/>
        <c:minorTickMark val="none"/>
        <c:tickLblPos val="nextTo"/>
        <c:crossAx val="456919552"/>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Sayfa1!$B$14</c:f>
              <c:strCache>
                <c:ptCount val="1"/>
                <c:pt idx="0">
                  <c:v>Sütun1</c:v>
                </c:pt>
              </c:strCache>
            </c:strRef>
          </c:tx>
          <c:invertIfNegative val="0"/>
          <c:dPt>
            <c:idx val="1"/>
            <c:invertIfNegative val="0"/>
            <c:bubble3D val="0"/>
            <c:extLst>
              <c:ext xmlns:c16="http://schemas.microsoft.com/office/drawing/2014/chart" uri="{C3380CC4-5D6E-409C-BE32-E72D297353CC}">
                <c16:uniqueId val="{00000000-7369-4C3D-A72B-0E7279E433A3}"/>
              </c:ext>
            </c:extLst>
          </c:dPt>
          <c:cat>
            <c:strRef>
              <c:f>Sayfa1!$A$15:$A$16</c:f>
              <c:strCache>
                <c:ptCount val="2"/>
                <c:pt idx="0">
                  <c:v>Doktora</c:v>
                </c:pt>
                <c:pt idx="1">
                  <c:v>Yüksek Lisans</c:v>
                </c:pt>
              </c:strCache>
            </c:strRef>
          </c:cat>
          <c:val>
            <c:numRef>
              <c:f>Sayfa1!$B$15:$B$16</c:f>
              <c:numCache>
                <c:formatCode>General</c:formatCode>
                <c:ptCount val="2"/>
                <c:pt idx="0">
                  <c:v>157.66999999999999</c:v>
                </c:pt>
                <c:pt idx="1">
                  <c:v>87.49</c:v>
                </c:pt>
              </c:numCache>
            </c:numRef>
          </c:val>
          <c:extLst>
            <c:ext xmlns:c16="http://schemas.microsoft.com/office/drawing/2014/chart" uri="{C3380CC4-5D6E-409C-BE32-E72D297353CC}">
              <c16:uniqueId val="{00000001-7369-4C3D-A72B-0E7279E433A3}"/>
            </c:ext>
          </c:extLst>
        </c:ser>
        <c:dLbls>
          <c:showLegendKey val="0"/>
          <c:showVal val="0"/>
          <c:showCatName val="0"/>
          <c:showSerName val="0"/>
          <c:showPercent val="0"/>
          <c:showBubbleSize val="0"/>
        </c:dLbls>
        <c:gapWidth val="150"/>
        <c:axId val="456920064"/>
        <c:axId val="316027392"/>
      </c:barChart>
      <c:catAx>
        <c:axId val="456920064"/>
        <c:scaling>
          <c:orientation val="minMax"/>
        </c:scaling>
        <c:delete val="0"/>
        <c:axPos val="b"/>
        <c:numFmt formatCode="General" sourceLinked="1"/>
        <c:majorTickMark val="out"/>
        <c:minorTickMark val="none"/>
        <c:tickLblPos val="nextTo"/>
        <c:crossAx val="316027392"/>
        <c:crosses val="autoZero"/>
        <c:auto val="1"/>
        <c:lblAlgn val="ctr"/>
        <c:lblOffset val="100"/>
        <c:noMultiLvlLbl val="0"/>
      </c:catAx>
      <c:valAx>
        <c:axId val="316027392"/>
        <c:scaling>
          <c:orientation val="minMax"/>
        </c:scaling>
        <c:delete val="0"/>
        <c:axPos val="l"/>
        <c:majorGridlines>
          <c:spPr>
            <a:ln>
              <a:noFill/>
            </a:ln>
          </c:spPr>
        </c:majorGridlines>
        <c:numFmt formatCode="General" sourceLinked="1"/>
        <c:majorTickMark val="out"/>
        <c:minorTickMark val="none"/>
        <c:tickLblPos val="nextTo"/>
        <c:crossAx val="456920064"/>
        <c:crosses val="autoZero"/>
        <c:crossBetween val="between"/>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Sayfa1!$B$14</c:f>
              <c:strCache>
                <c:ptCount val="1"/>
                <c:pt idx="0">
                  <c:v>Sütun1</c:v>
                </c:pt>
              </c:strCache>
            </c:strRef>
          </c:tx>
          <c:invertIfNegative val="0"/>
          <c:dPt>
            <c:idx val="1"/>
            <c:invertIfNegative val="0"/>
            <c:bubble3D val="0"/>
            <c:extLst>
              <c:ext xmlns:c16="http://schemas.microsoft.com/office/drawing/2014/chart" uri="{C3380CC4-5D6E-409C-BE32-E72D297353CC}">
                <c16:uniqueId val="{00000000-13EC-46D8-9B46-41B39410B8D8}"/>
              </c:ext>
            </c:extLst>
          </c:dPt>
          <c:cat>
            <c:strRef>
              <c:f>Sayfa1!$A$15:$A$17</c:f>
              <c:strCache>
                <c:ptCount val="3"/>
                <c:pt idx="0">
                  <c:v>Tek yazarlı</c:v>
                </c:pt>
                <c:pt idx="1">
                  <c:v>İki yazarlı</c:v>
                </c:pt>
                <c:pt idx="2">
                  <c:v>Çok yazarlı</c:v>
                </c:pt>
              </c:strCache>
            </c:strRef>
          </c:cat>
          <c:val>
            <c:numRef>
              <c:f>Sayfa1!$B$15:$B$17</c:f>
              <c:numCache>
                <c:formatCode>General</c:formatCode>
                <c:ptCount val="3"/>
                <c:pt idx="0">
                  <c:v>53</c:v>
                </c:pt>
                <c:pt idx="1">
                  <c:v>17</c:v>
                </c:pt>
                <c:pt idx="2">
                  <c:v>18</c:v>
                </c:pt>
              </c:numCache>
            </c:numRef>
          </c:val>
          <c:extLst>
            <c:ext xmlns:c16="http://schemas.microsoft.com/office/drawing/2014/chart" uri="{C3380CC4-5D6E-409C-BE32-E72D297353CC}">
              <c16:uniqueId val="{00000001-13EC-46D8-9B46-41B39410B8D8}"/>
            </c:ext>
          </c:extLst>
        </c:ser>
        <c:dLbls>
          <c:showLegendKey val="0"/>
          <c:showVal val="0"/>
          <c:showCatName val="0"/>
          <c:showSerName val="0"/>
          <c:showPercent val="0"/>
          <c:showBubbleSize val="0"/>
        </c:dLbls>
        <c:gapWidth val="150"/>
        <c:axId val="581982208"/>
        <c:axId val="316029120"/>
      </c:barChart>
      <c:catAx>
        <c:axId val="581982208"/>
        <c:scaling>
          <c:orientation val="minMax"/>
        </c:scaling>
        <c:delete val="0"/>
        <c:axPos val="b"/>
        <c:numFmt formatCode="General" sourceLinked="1"/>
        <c:majorTickMark val="out"/>
        <c:minorTickMark val="none"/>
        <c:tickLblPos val="nextTo"/>
        <c:crossAx val="316029120"/>
        <c:crosses val="autoZero"/>
        <c:auto val="1"/>
        <c:lblAlgn val="ctr"/>
        <c:lblOffset val="100"/>
        <c:noMultiLvlLbl val="0"/>
      </c:catAx>
      <c:valAx>
        <c:axId val="316029120"/>
        <c:scaling>
          <c:orientation val="minMax"/>
        </c:scaling>
        <c:delete val="0"/>
        <c:axPos val="l"/>
        <c:majorGridlines>
          <c:spPr>
            <a:ln>
              <a:noFill/>
            </a:ln>
          </c:spPr>
        </c:majorGridlines>
        <c:numFmt formatCode="General" sourceLinked="1"/>
        <c:majorTickMark val="out"/>
        <c:minorTickMark val="none"/>
        <c:tickLblPos val="nextTo"/>
        <c:crossAx val="58198220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2070</Words>
  <Characters>11802</Characters>
  <Application>Microsoft Office Word</Application>
  <DocSecurity>0</DocSecurity>
  <Lines>98</Lines>
  <Paragraphs>27</Paragraphs>
  <ScaleCrop>false</ScaleCrop>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Aybike DİLEK</dc:creator>
  <cp:keywords/>
  <dc:description/>
  <cp:lastModifiedBy>Microsoft Office User</cp:lastModifiedBy>
  <cp:revision>2</cp:revision>
  <dcterms:created xsi:type="dcterms:W3CDTF">2020-09-01T08:24:00Z</dcterms:created>
  <dcterms:modified xsi:type="dcterms:W3CDTF">2020-09-01T08:24:00Z</dcterms:modified>
</cp:coreProperties>
</file>